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FC92" w14:textId="3A62D44F" w:rsidR="00973ED2" w:rsidRPr="0067381C" w:rsidRDefault="009D423F" w:rsidP="00B92DCF">
      <w:pPr>
        <w:jc w:val="center"/>
        <w:rPr>
          <w:b/>
          <w:szCs w:val="22"/>
        </w:rPr>
      </w:pPr>
      <w:bookmarkStart w:id="0" w:name="_GoBack"/>
      <w:bookmarkEnd w:id="0"/>
      <w:r>
        <w:rPr>
          <w:b/>
          <w:szCs w:val="22"/>
        </w:rPr>
        <w:t>OpenEMIS</w:t>
      </w:r>
      <w:r w:rsidR="00122D3F">
        <w:rPr>
          <w:b/>
          <w:szCs w:val="22"/>
        </w:rPr>
        <w:t xml:space="preserve"> </w:t>
      </w:r>
      <w:r w:rsidR="001F5D31">
        <w:rPr>
          <w:b/>
          <w:szCs w:val="22"/>
        </w:rPr>
        <w:t>EFA</w:t>
      </w:r>
      <w:r w:rsidR="001A4C12">
        <w:rPr>
          <w:b/>
          <w:szCs w:val="22"/>
        </w:rPr>
        <w:t xml:space="preserve"> </w:t>
      </w:r>
      <w:r w:rsidR="00122D3F">
        <w:rPr>
          <w:b/>
          <w:szCs w:val="22"/>
        </w:rPr>
        <w:t>Indicators</w:t>
      </w:r>
    </w:p>
    <w:p w14:paraId="39943186" w14:textId="77777777" w:rsidR="00B92DCF" w:rsidRPr="0067381C" w:rsidRDefault="00B92DCF">
      <w:pPr>
        <w:rPr>
          <w:szCs w:val="22"/>
        </w:rPr>
      </w:pPr>
    </w:p>
    <w:p w14:paraId="053CBC46" w14:textId="77777777" w:rsidR="00E108B3" w:rsidRDefault="00E108B3" w:rsidP="002C21B0">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1417"/>
        <w:gridCol w:w="709"/>
        <w:gridCol w:w="992"/>
        <w:gridCol w:w="1276"/>
        <w:gridCol w:w="4308"/>
      </w:tblGrid>
      <w:tr w:rsidR="00212707" w:rsidRPr="001766D9" w14:paraId="03E65B8D" w14:textId="77777777" w:rsidTr="00B4296D">
        <w:trPr>
          <w:cantSplit/>
          <w:tblHeader/>
        </w:trPr>
        <w:tc>
          <w:tcPr>
            <w:tcW w:w="534" w:type="dxa"/>
            <w:shd w:val="clear" w:color="auto" w:fill="0077D4"/>
          </w:tcPr>
          <w:p w14:paraId="060F6DB3" w14:textId="6E1933B3" w:rsidR="000C50CD" w:rsidRPr="001766D9" w:rsidRDefault="00A3171F" w:rsidP="003363E4">
            <w:pPr>
              <w:jc w:val="left"/>
              <w:rPr>
                <w:rFonts w:asciiTheme="majorHAnsi" w:hAnsiTheme="majorHAnsi"/>
                <w:b/>
                <w:color w:val="FFFFFF" w:themeColor="background1"/>
                <w:szCs w:val="22"/>
              </w:rPr>
            </w:pPr>
            <w:r>
              <w:rPr>
                <w:rFonts w:asciiTheme="majorHAnsi" w:hAnsiTheme="majorHAnsi"/>
                <w:b/>
                <w:color w:val="FFFFFF" w:themeColor="background1"/>
                <w:szCs w:val="22"/>
              </w:rPr>
              <w:t>No</w:t>
            </w:r>
          </w:p>
        </w:tc>
        <w:tc>
          <w:tcPr>
            <w:tcW w:w="1417" w:type="dxa"/>
            <w:shd w:val="clear" w:color="auto" w:fill="0077D4"/>
          </w:tcPr>
          <w:p w14:paraId="18F01C35"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Indicator</w:t>
            </w:r>
          </w:p>
        </w:tc>
        <w:tc>
          <w:tcPr>
            <w:tcW w:w="709" w:type="dxa"/>
            <w:shd w:val="clear" w:color="auto" w:fill="0077D4"/>
          </w:tcPr>
          <w:p w14:paraId="4E76EF3A"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Code</w:t>
            </w:r>
          </w:p>
        </w:tc>
        <w:tc>
          <w:tcPr>
            <w:tcW w:w="992" w:type="dxa"/>
            <w:shd w:val="clear" w:color="auto" w:fill="0077D4"/>
          </w:tcPr>
          <w:p w14:paraId="43C452F8"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Unit</w:t>
            </w:r>
          </w:p>
        </w:tc>
        <w:tc>
          <w:tcPr>
            <w:tcW w:w="1276" w:type="dxa"/>
            <w:shd w:val="clear" w:color="auto" w:fill="0077D4"/>
          </w:tcPr>
          <w:p w14:paraId="5DAFD832" w14:textId="592048BE"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 xml:space="preserve">Subgroup </w:t>
            </w:r>
          </w:p>
        </w:tc>
        <w:tc>
          <w:tcPr>
            <w:tcW w:w="4308" w:type="dxa"/>
            <w:shd w:val="clear" w:color="auto" w:fill="0077D4"/>
          </w:tcPr>
          <w:p w14:paraId="3E05E9C7" w14:textId="77777777" w:rsidR="000C50CD" w:rsidRPr="001766D9" w:rsidRDefault="000C50CD" w:rsidP="003363E4">
            <w:pPr>
              <w:jc w:val="left"/>
              <w:rPr>
                <w:rFonts w:asciiTheme="majorHAnsi" w:hAnsiTheme="majorHAnsi"/>
                <w:b/>
                <w:color w:val="FFFFFF" w:themeColor="background1"/>
                <w:szCs w:val="22"/>
              </w:rPr>
            </w:pPr>
            <w:r w:rsidRPr="001766D9">
              <w:rPr>
                <w:rFonts w:asciiTheme="majorHAnsi" w:hAnsiTheme="majorHAnsi"/>
                <w:b/>
                <w:color w:val="FFFFFF" w:themeColor="background1"/>
                <w:szCs w:val="22"/>
              </w:rPr>
              <w:t>Metadata</w:t>
            </w:r>
          </w:p>
        </w:tc>
      </w:tr>
      <w:tr w:rsidR="00212707" w:rsidRPr="001766D9" w14:paraId="3E8C49C9" w14:textId="77777777" w:rsidTr="00B4296D">
        <w:trPr>
          <w:cantSplit/>
        </w:trPr>
        <w:tc>
          <w:tcPr>
            <w:tcW w:w="534" w:type="dxa"/>
          </w:tcPr>
          <w:p w14:paraId="3752E50C" w14:textId="36400E6F" w:rsidR="000C50CD" w:rsidRPr="001766D9" w:rsidRDefault="00361A07" w:rsidP="003363E4">
            <w:pPr>
              <w:jc w:val="left"/>
              <w:rPr>
                <w:rFonts w:asciiTheme="majorHAnsi" w:hAnsiTheme="majorHAnsi"/>
                <w:szCs w:val="22"/>
              </w:rPr>
            </w:pPr>
            <w:r>
              <w:rPr>
                <w:rFonts w:asciiTheme="majorHAnsi" w:hAnsiTheme="majorHAnsi"/>
                <w:szCs w:val="22"/>
              </w:rPr>
              <w:t>1</w:t>
            </w:r>
          </w:p>
        </w:tc>
        <w:tc>
          <w:tcPr>
            <w:tcW w:w="1417" w:type="dxa"/>
          </w:tcPr>
          <w:p w14:paraId="0229D960" w14:textId="54D5B3F1" w:rsidR="000C50CD" w:rsidRPr="001766D9" w:rsidRDefault="009D423F" w:rsidP="003363E4">
            <w:pPr>
              <w:jc w:val="left"/>
              <w:rPr>
                <w:rFonts w:asciiTheme="majorHAnsi" w:hAnsiTheme="majorHAnsi"/>
                <w:szCs w:val="22"/>
              </w:rPr>
            </w:pPr>
            <w:r>
              <w:rPr>
                <w:rFonts w:asciiTheme="majorHAnsi" w:hAnsiTheme="majorHAnsi"/>
                <w:szCs w:val="22"/>
              </w:rPr>
              <w:t xml:space="preserve">Number of </w:t>
            </w:r>
            <w:r w:rsidR="000C50CD" w:rsidRPr="001766D9">
              <w:rPr>
                <w:rFonts w:asciiTheme="majorHAnsi" w:hAnsiTheme="majorHAnsi"/>
                <w:szCs w:val="22"/>
              </w:rPr>
              <w:t>Students</w:t>
            </w:r>
          </w:p>
        </w:tc>
        <w:tc>
          <w:tcPr>
            <w:tcW w:w="709" w:type="dxa"/>
          </w:tcPr>
          <w:p w14:paraId="1A84ED74" w14:textId="7D3325F3" w:rsidR="000C50CD" w:rsidRPr="001766D9" w:rsidRDefault="000C50CD" w:rsidP="003363E4">
            <w:pPr>
              <w:jc w:val="left"/>
              <w:rPr>
                <w:rFonts w:asciiTheme="majorHAnsi" w:hAnsiTheme="majorHAnsi"/>
                <w:szCs w:val="22"/>
              </w:rPr>
            </w:pPr>
          </w:p>
        </w:tc>
        <w:tc>
          <w:tcPr>
            <w:tcW w:w="992" w:type="dxa"/>
          </w:tcPr>
          <w:p w14:paraId="789629BF"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w:t>
            </w:r>
          </w:p>
        </w:tc>
        <w:tc>
          <w:tcPr>
            <w:tcW w:w="1276" w:type="dxa"/>
          </w:tcPr>
          <w:p w14:paraId="33CC747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459D625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Age</w:t>
            </w:r>
          </w:p>
          <w:p w14:paraId="41D233F1" w14:textId="7F777CD7" w:rsidR="000C50CD" w:rsidRPr="001766D9" w:rsidRDefault="0021270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381F6EF5" w14:textId="01886D23" w:rsidR="000C50CD" w:rsidRPr="001766D9" w:rsidRDefault="00212707" w:rsidP="003363E4">
            <w:pPr>
              <w:jc w:val="left"/>
              <w:rPr>
                <w:rFonts w:asciiTheme="majorHAnsi" w:hAnsiTheme="majorHAnsi"/>
                <w:szCs w:val="22"/>
              </w:rPr>
            </w:pPr>
            <w:r>
              <w:rPr>
                <w:rFonts w:asciiTheme="majorHAnsi" w:hAnsiTheme="majorHAnsi" w:cs="Times New Roman"/>
                <w:szCs w:val="22"/>
              </w:rPr>
              <w:t>Locality</w:t>
            </w:r>
          </w:p>
          <w:p w14:paraId="28F06EA5"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Grade</w:t>
            </w:r>
          </w:p>
        </w:tc>
        <w:tc>
          <w:tcPr>
            <w:tcW w:w="4308" w:type="dxa"/>
          </w:tcPr>
          <w:p w14:paraId="2AD167EA" w14:textId="77777777" w:rsidR="000C50CD" w:rsidRPr="001766D9" w:rsidRDefault="000C50CD" w:rsidP="003363E4">
            <w:pPr>
              <w:widowControl w:val="0"/>
              <w:autoSpaceDE w:val="0"/>
              <w:autoSpaceDN w:val="0"/>
              <w:adjustRightInd w:val="0"/>
              <w:jc w:val="left"/>
              <w:rPr>
                <w:rFonts w:asciiTheme="majorHAnsi" w:hAnsiTheme="majorHAnsi"/>
                <w:szCs w:val="22"/>
              </w:rPr>
            </w:pPr>
            <w:r w:rsidRPr="001766D9">
              <w:rPr>
                <w:rFonts w:asciiTheme="majorHAnsi" w:hAnsiTheme="majorHAnsi"/>
                <w:szCs w:val="22"/>
              </w:rPr>
              <w:t xml:space="preserve">Number of students (enrollment) by </w:t>
            </w:r>
            <w:r w:rsidRPr="001766D9">
              <w:rPr>
                <w:rFonts w:asciiTheme="majorHAnsi" w:hAnsiTheme="majorHAnsi" w:cs="Times New Roman"/>
                <w:szCs w:val="22"/>
              </w:rPr>
              <w:t xml:space="preserve">sex, age, locality and </w:t>
            </w:r>
            <w:r w:rsidRPr="001766D9">
              <w:rPr>
                <w:rFonts w:asciiTheme="majorHAnsi" w:hAnsiTheme="majorHAnsi"/>
                <w:szCs w:val="22"/>
              </w:rPr>
              <w:t>grade</w:t>
            </w:r>
          </w:p>
        </w:tc>
      </w:tr>
      <w:tr w:rsidR="00212707" w:rsidRPr="001766D9" w14:paraId="3292F0BF" w14:textId="77777777" w:rsidTr="00B4296D">
        <w:trPr>
          <w:cantSplit/>
        </w:trPr>
        <w:tc>
          <w:tcPr>
            <w:tcW w:w="534" w:type="dxa"/>
          </w:tcPr>
          <w:p w14:paraId="26F76C54" w14:textId="281D3A97" w:rsidR="000C50CD" w:rsidRPr="001766D9" w:rsidRDefault="00361A07" w:rsidP="003363E4">
            <w:pPr>
              <w:jc w:val="left"/>
              <w:rPr>
                <w:rFonts w:asciiTheme="majorHAnsi" w:hAnsiTheme="majorHAnsi"/>
                <w:szCs w:val="22"/>
              </w:rPr>
            </w:pPr>
            <w:r>
              <w:rPr>
                <w:rFonts w:asciiTheme="majorHAnsi" w:hAnsiTheme="majorHAnsi"/>
                <w:szCs w:val="22"/>
              </w:rPr>
              <w:t>2</w:t>
            </w:r>
          </w:p>
        </w:tc>
        <w:tc>
          <w:tcPr>
            <w:tcW w:w="1417" w:type="dxa"/>
          </w:tcPr>
          <w:p w14:paraId="7D0390DA" w14:textId="2F1E2CE3" w:rsidR="000C50CD" w:rsidRPr="001766D9" w:rsidRDefault="009D423F" w:rsidP="003363E4">
            <w:pPr>
              <w:jc w:val="left"/>
              <w:rPr>
                <w:rFonts w:asciiTheme="majorHAnsi" w:hAnsiTheme="majorHAnsi"/>
                <w:szCs w:val="22"/>
              </w:rPr>
            </w:pPr>
            <w:r>
              <w:rPr>
                <w:rFonts w:asciiTheme="majorHAnsi" w:hAnsiTheme="majorHAnsi"/>
                <w:szCs w:val="22"/>
              </w:rPr>
              <w:t xml:space="preserve">Number of </w:t>
            </w:r>
            <w:r w:rsidR="00217F2E" w:rsidRPr="001766D9">
              <w:rPr>
                <w:rFonts w:asciiTheme="majorHAnsi" w:hAnsiTheme="majorHAnsi"/>
                <w:szCs w:val="22"/>
              </w:rPr>
              <w:t>Staff</w:t>
            </w:r>
          </w:p>
        </w:tc>
        <w:tc>
          <w:tcPr>
            <w:tcW w:w="709" w:type="dxa"/>
          </w:tcPr>
          <w:p w14:paraId="0CD90032" w14:textId="2E43C3F4" w:rsidR="000C50CD" w:rsidRPr="001766D9" w:rsidRDefault="000C50CD" w:rsidP="003363E4">
            <w:pPr>
              <w:jc w:val="left"/>
              <w:rPr>
                <w:rFonts w:asciiTheme="majorHAnsi" w:hAnsiTheme="majorHAnsi"/>
                <w:szCs w:val="22"/>
              </w:rPr>
            </w:pPr>
          </w:p>
        </w:tc>
        <w:tc>
          <w:tcPr>
            <w:tcW w:w="992" w:type="dxa"/>
          </w:tcPr>
          <w:p w14:paraId="7BE94185"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w:t>
            </w:r>
          </w:p>
        </w:tc>
        <w:tc>
          <w:tcPr>
            <w:tcW w:w="1276" w:type="dxa"/>
          </w:tcPr>
          <w:p w14:paraId="3E8396D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593E4B9C" w14:textId="57A0650E" w:rsidR="000C50CD" w:rsidRPr="001766D9" w:rsidRDefault="0021270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49A1056D" w14:textId="77777777" w:rsidR="00212707" w:rsidRPr="001766D9" w:rsidRDefault="00212707" w:rsidP="003363E4">
            <w:pPr>
              <w:jc w:val="left"/>
              <w:rPr>
                <w:rFonts w:asciiTheme="majorHAnsi" w:hAnsiTheme="majorHAnsi"/>
                <w:szCs w:val="22"/>
              </w:rPr>
            </w:pPr>
            <w:r>
              <w:rPr>
                <w:rFonts w:asciiTheme="majorHAnsi" w:hAnsiTheme="majorHAnsi" w:cs="Times New Roman"/>
                <w:szCs w:val="22"/>
              </w:rPr>
              <w:t>Locality</w:t>
            </w:r>
          </w:p>
          <w:p w14:paraId="5CEDFF98"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Grade</w:t>
            </w:r>
          </w:p>
        </w:tc>
        <w:tc>
          <w:tcPr>
            <w:tcW w:w="4308" w:type="dxa"/>
          </w:tcPr>
          <w:p w14:paraId="31736268" w14:textId="3AE6FDB6" w:rsidR="000C50CD" w:rsidRPr="001766D9" w:rsidRDefault="000C50CD" w:rsidP="001B0EE8">
            <w:pPr>
              <w:widowControl w:val="0"/>
              <w:autoSpaceDE w:val="0"/>
              <w:autoSpaceDN w:val="0"/>
              <w:adjustRightInd w:val="0"/>
              <w:jc w:val="left"/>
              <w:rPr>
                <w:rFonts w:asciiTheme="majorHAnsi" w:hAnsiTheme="majorHAnsi" w:cs="Times New Roman"/>
                <w:szCs w:val="22"/>
              </w:rPr>
            </w:pPr>
            <w:r w:rsidRPr="001766D9">
              <w:rPr>
                <w:rFonts w:asciiTheme="majorHAnsi" w:hAnsiTheme="majorHAnsi"/>
                <w:szCs w:val="22"/>
              </w:rPr>
              <w:t xml:space="preserve">Number of </w:t>
            </w:r>
            <w:r w:rsidR="001B0EE8">
              <w:rPr>
                <w:rFonts w:asciiTheme="majorHAnsi" w:hAnsiTheme="majorHAnsi"/>
                <w:szCs w:val="22"/>
              </w:rPr>
              <w:t>staff</w:t>
            </w:r>
            <w:r w:rsidRPr="001766D9">
              <w:rPr>
                <w:rFonts w:asciiTheme="majorHAnsi" w:hAnsiTheme="majorHAnsi"/>
                <w:szCs w:val="22"/>
              </w:rPr>
              <w:t xml:space="preserve"> by </w:t>
            </w:r>
            <w:r w:rsidRPr="001766D9">
              <w:rPr>
                <w:rFonts w:asciiTheme="majorHAnsi" w:hAnsiTheme="majorHAnsi" w:cs="Times New Roman"/>
                <w:szCs w:val="22"/>
              </w:rPr>
              <w:t>sex, locality</w:t>
            </w:r>
            <w:r w:rsidR="00E77CBC">
              <w:rPr>
                <w:rFonts w:asciiTheme="majorHAnsi" w:hAnsiTheme="majorHAnsi" w:cs="Times New Roman"/>
                <w:szCs w:val="22"/>
              </w:rPr>
              <w:t>, teaching / non-teaching</w:t>
            </w:r>
            <w:r w:rsidRPr="001766D9">
              <w:rPr>
                <w:rFonts w:asciiTheme="majorHAnsi" w:hAnsiTheme="majorHAnsi"/>
                <w:szCs w:val="22"/>
              </w:rPr>
              <w:t xml:space="preserve"> </w:t>
            </w:r>
            <w:r w:rsidRPr="001766D9">
              <w:rPr>
                <w:rFonts w:asciiTheme="majorHAnsi" w:hAnsiTheme="majorHAnsi" w:cs="Times New Roman"/>
                <w:szCs w:val="22"/>
              </w:rPr>
              <w:t xml:space="preserve">and </w:t>
            </w:r>
            <w:r w:rsidRPr="001766D9">
              <w:rPr>
                <w:rFonts w:asciiTheme="majorHAnsi" w:hAnsiTheme="majorHAnsi"/>
                <w:szCs w:val="22"/>
              </w:rPr>
              <w:t>grade</w:t>
            </w:r>
          </w:p>
        </w:tc>
      </w:tr>
      <w:tr w:rsidR="00212707" w:rsidRPr="001766D9" w14:paraId="4134E1B3" w14:textId="77777777" w:rsidTr="00B4296D">
        <w:trPr>
          <w:cantSplit/>
        </w:trPr>
        <w:tc>
          <w:tcPr>
            <w:tcW w:w="534" w:type="dxa"/>
          </w:tcPr>
          <w:p w14:paraId="35E4BC03" w14:textId="0FFD479A" w:rsidR="000C50CD" w:rsidRPr="001766D9" w:rsidRDefault="00361A07" w:rsidP="003363E4">
            <w:pPr>
              <w:jc w:val="left"/>
              <w:rPr>
                <w:rFonts w:asciiTheme="majorHAnsi" w:hAnsiTheme="majorHAnsi"/>
                <w:szCs w:val="22"/>
              </w:rPr>
            </w:pPr>
            <w:r>
              <w:rPr>
                <w:rFonts w:asciiTheme="majorHAnsi" w:hAnsiTheme="majorHAnsi"/>
                <w:szCs w:val="22"/>
              </w:rPr>
              <w:t>3</w:t>
            </w:r>
          </w:p>
        </w:tc>
        <w:tc>
          <w:tcPr>
            <w:tcW w:w="1417" w:type="dxa"/>
          </w:tcPr>
          <w:p w14:paraId="230D9F00" w14:textId="33ACDD61" w:rsidR="000C50CD" w:rsidRPr="001766D9" w:rsidRDefault="009D423F" w:rsidP="003363E4">
            <w:pPr>
              <w:jc w:val="left"/>
              <w:rPr>
                <w:rFonts w:asciiTheme="majorHAnsi" w:hAnsiTheme="majorHAnsi"/>
                <w:szCs w:val="22"/>
              </w:rPr>
            </w:pPr>
            <w:r>
              <w:rPr>
                <w:rFonts w:asciiTheme="majorHAnsi" w:hAnsiTheme="majorHAnsi"/>
                <w:szCs w:val="22"/>
              </w:rPr>
              <w:t xml:space="preserve">Number of </w:t>
            </w:r>
            <w:r w:rsidR="000C50CD" w:rsidRPr="001766D9">
              <w:rPr>
                <w:rFonts w:asciiTheme="majorHAnsi" w:hAnsiTheme="majorHAnsi"/>
                <w:szCs w:val="22"/>
              </w:rPr>
              <w:t>Institutions</w:t>
            </w:r>
          </w:p>
        </w:tc>
        <w:tc>
          <w:tcPr>
            <w:tcW w:w="709" w:type="dxa"/>
          </w:tcPr>
          <w:p w14:paraId="5C9989A8" w14:textId="278FADA7" w:rsidR="000C50CD" w:rsidRPr="001766D9" w:rsidRDefault="000C50CD" w:rsidP="003363E4">
            <w:pPr>
              <w:jc w:val="left"/>
              <w:rPr>
                <w:rFonts w:asciiTheme="majorHAnsi" w:hAnsiTheme="majorHAnsi"/>
                <w:szCs w:val="22"/>
              </w:rPr>
            </w:pPr>
          </w:p>
        </w:tc>
        <w:tc>
          <w:tcPr>
            <w:tcW w:w="992" w:type="dxa"/>
          </w:tcPr>
          <w:p w14:paraId="0942D6E3"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w:t>
            </w:r>
          </w:p>
        </w:tc>
        <w:tc>
          <w:tcPr>
            <w:tcW w:w="1276" w:type="dxa"/>
          </w:tcPr>
          <w:p w14:paraId="643A88AC" w14:textId="388D8FD1" w:rsidR="000C50CD" w:rsidRPr="001766D9" w:rsidRDefault="0021270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349A0FE4"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Provider</w:t>
            </w:r>
          </w:p>
          <w:p w14:paraId="7502BC49" w14:textId="77777777" w:rsidR="00217F2E" w:rsidRDefault="00212707" w:rsidP="00217F2E">
            <w:pPr>
              <w:jc w:val="left"/>
              <w:rPr>
                <w:rFonts w:asciiTheme="majorHAnsi" w:hAnsiTheme="majorHAnsi"/>
                <w:szCs w:val="22"/>
              </w:rPr>
            </w:pPr>
            <w:r>
              <w:rPr>
                <w:rFonts w:asciiTheme="majorHAnsi" w:hAnsiTheme="majorHAnsi"/>
                <w:szCs w:val="22"/>
              </w:rPr>
              <w:t>Sector</w:t>
            </w:r>
          </w:p>
          <w:p w14:paraId="38746183" w14:textId="2832D98B" w:rsidR="00217F2E" w:rsidRPr="001766D9" w:rsidRDefault="00217F2E" w:rsidP="00217F2E">
            <w:pPr>
              <w:jc w:val="left"/>
              <w:rPr>
                <w:rFonts w:asciiTheme="majorHAnsi" w:hAnsiTheme="majorHAnsi"/>
                <w:szCs w:val="22"/>
              </w:rPr>
            </w:pPr>
            <w:r>
              <w:rPr>
                <w:rFonts w:asciiTheme="majorHAnsi" w:hAnsiTheme="majorHAnsi" w:cs="Times New Roman"/>
                <w:szCs w:val="22"/>
              </w:rPr>
              <w:t>Locality</w:t>
            </w:r>
          </w:p>
          <w:p w14:paraId="15607CC4" w14:textId="63CDBA73" w:rsidR="000C50CD" w:rsidRPr="001766D9" w:rsidRDefault="00217F2E" w:rsidP="00217F2E">
            <w:pPr>
              <w:jc w:val="left"/>
              <w:rPr>
                <w:rFonts w:asciiTheme="majorHAnsi" w:hAnsiTheme="majorHAnsi"/>
                <w:szCs w:val="22"/>
              </w:rPr>
            </w:pPr>
            <w:r w:rsidRPr="001766D9">
              <w:rPr>
                <w:rFonts w:asciiTheme="majorHAnsi" w:hAnsiTheme="majorHAnsi"/>
                <w:szCs w:val="22"/>
              </w:rPr>
              <w:t>Type</w:t>
            </w:r>
          </w:p>
        </w:tc>
        <w:tc>
          <w:tcPr>
            <w:tcW w:w="4308" w:type="dxa"/>
          </w:tcPr>
          <w:p w14:paraId="319F2400"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 of institutions by provider and sector</w:t>
            </w:r>
          </w:p>
        </w:tc>
      </w:tr>
      <w:tr w:rsidR="00212707" w:rsidRPr="001766D9" w14:paraId="5E35AFB4" w14:textId="77777777" w:rsidTr="00B4296D">
        <w:trPr>
          <w:cantSplit/>
        </w:trPr>
        <w:tc>
          <w:tcPr>
            <w:tcW w:w="534" w:type="dxa"/>
          </w:tcPr>
          <w:p w14:paraId="5B24FD98" w14:textId="4E4C641C" w:rsidR="000C50CD" w:rsidRPr="001766D9" w:rsidRDefault="00361A07" w:rsidP="003363E4">
            <w:pPr>
              <w:jc w:val="left"/>
              <w:rPr>
                <w:rFonts w:asciiTheme="majorHAnsi" w:hAnsiTheme="majorHAnsi"/>
                <w:szCs w:val="22"/>
              </w:rPr>
            </w:pPr>
            <w:r>
              <w:rPr>
                <w:rFonts w:asciiTheme="majorHAnsi" w:hAnsiTheme="majorHAnsi"/>
                <w:szCs w:val="22"/>
              </w:rPr>
              <w:t>4</w:t>
            </w:r>
          </w:p>
        </w:tc>
        <w:tc>
          <w:tcPr>
            <w:tcW w:w="1417" w:type="dxa"/>
          </w:tcPr>
          <w:p w14:paraId="3521A076"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Net Enrolment Rate</w:t>
            </w:r>
          </w:p>
        </w:tc>
        <w:tc>
          <w:tcPr>
            <w:tcW w:w="709" w:type="dxa"/>
          </w:tcPr>
          <w:p w14:paraId="6615AC73"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NER</w:t>
            </w:r>
          </w:p>
        </w:tc>
        <w:tc>
          <w:tcPr>
            <w:tcW w:w="992" w:type="dxa"/>
          </w:tcPr>
          <w:p w14:paraId="6885B2F5"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6C2F528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6E7D9945" w14:textId="2D5857AD"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36DEE11" w14:textId="752CEF20"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0B52E1B7"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Grade</w:t>
            </w:r>
          </w:p>
        </w:tc>
        <w:tc>
          <w:tcPr>
            <w:tcW w:w="4308" w:type="dxa"/>
          </w:tcPr>
          <w:p w14:paraId="05A9CD4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pupils (or students) enrolled who are of the official age group for a given level of education by the population for the same age group and multiply the result by 100. This indicator has dimension values of sex, locality and grade.</w:t>
            </w:r>
          </w:p>
        </w:tc>
      </w:tr>
      <w:tr w:rsidR="00212707" w:rsidRPr="001766D9" w14:paraId="3E14FE74" w14:textId="77777777" w:rsidTr="00B4296D">
        <w:trPr>
          <w:cantSplit/>
        </w:trPr>
        <w:tc>
          <w:tcPr>
            <w:tcW w:w="534" w:type="dxa"/>
          </w:tcPr>
          <w:p w14:paraId="4CA27717" w14:textId="72768B8A" w:rsidR="000C50CD" w:rsidRPr="001766D9" w:rsidRDefault="00361A07" w:rsidP="003363E4">
            <w:pPr>
              <w:jc w:val="left"/>
              <w:rPr>
                <w:rFonts w:asciiTheme="majorHAnsi" w:hAnsiTheme="majorHAnsi"/>
                <w:szCs w:val="22"/>
              </w:rPr>
            </w:pPr>
            <w:r>
              <w:rPr>
                <w:rFonts w:asciiTheme="majorHAnsi" w:hAnsiTheme="majorHAnsi"/>
                <w:szCs w:val="22"/>
              </w:rPr>
              <w:t>5</w:t>
            </w:r>
          </w:p>
        </w:tc>
        <w:tc>
          <w:tcPr>
            <w:tcW w:w="1417" w:type="dxa"/>
          </w:tcPr>
          <w:p w14:paraId="0FBF7A03"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Gross Enrolment Rate</w:t>
            </w:r>
          </w:p>
        </w:tc>
        <w:tc>
          <w:tcPr>
            <w:tcW w:w="709" w:type="dxa"/>
          </w:tcPr>
          <w:p w14:paraId="3FB87199"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GER</w:t>
            </w:r>
          </w:p>
        </w:tc>
        <w:tc>
          <w:tcPr>
            <w:tcW w:w="992" w:type="dxa"/>
          </w:tcPr>
          <w:p w14:paraId="21EAD061"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4848CBE4"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2BC2BB94" w14:textId="0F27634E"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8A2D6C2" w14:textId="69C90334"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4A15C0F2"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Grade</w:t>
            </w:r>
          </w:p>
        </w:tc>
        <w:tc>
          <w:tcPr>
            <w:tcW w:w="4308" w:type="dxa"/>
          </w:tcPr>
          <w:p w14:paraId="3F97D00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pupils (or students) enrolled in a given level of education regardless of age by the population of the age group which officially corresponds to the given level of education, and multiply the result by 100. This indicator has dimension values of sex, locality and grade.</w:t>
            </w:r>
          </w:p>
        </w:tc>
      </w:tr>
      <w:tr w:rsidR="00212707" w:rsidRPr="001766D9" w14:paraId="354ED1E0" w14:textId="77777777" w:rsidTr="00B4296D">
        <w:trPr>
          <w:cantSplit/>
        </w:trPr>
        <w:tc>
          <w:tcPr>
            <w:tcW w:w="534" w:type="dxa"/>
          </w:tcPr>
          <w:p w14:paraId="4672746B" w14:textId="0E0A3782" w:rsidR="000C50CD" w:rsidRPr="001766D9" w:rsidRDefault="00361A07" w:rsidP="003363E4">
            <w:pPr>
              <w:jc w:val="left"/>
              <w:rPr>
                <w:rFonts w:asciiTheme="majorHAnsi" w:hAnsiTheme="majorHAnsi"/>
                <w:szCs w:val="22"/>
              </w:rPr>
            </w:pPr>
            <w:r>
              <w:rPr>
                <w:rFonts w:asciiTheme="majorHAnsi" w:hAnsiTheme="majorHAnsi"/>
                <w:szCs w:val="22"/>
              </w:rPr>
              <w:t>6</w:t>
            </w:r>
          </w:p>
        </w:tc>
        <w:tc>
          <w:tcPr>
            <w:tcW w:w="1417" w:type="dxa"/>
          </w:tcPr>
          <w:p w14:paraId="2FE90344"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Net Intake Rate</w:t>
            </w:r>
          </w:p>
        </w:tc>
        <w:tc>
          <w:tcPr>
            <w:tcW w:w="709" w:type="dxa"/>
          </w:tcPr>
          <w:p w14:paraId="192F0BBE"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NIR</w:t>
            </w:r>
          </w:p>
        </w:tc>
        <w:tc>
          <w:tcPr>
            <w:tcW w:w="992" w:type="dxa"/>
          </w:tcPr>
          <w:p w14:paraId="3CE228CD"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4B4423D4"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101F5050" w14:textId="66C13584" w:rsidR="000C50CD" w:rsidRPr="001766D9" w:rsidRDefault="00AC773B"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1C58CDCE" w14:textId="2E48CEAF" w:rsidR="000C50CD" w:rsidRPr="001766D9" w:rsidRDefault="00AC773B" w:rsidP="003363E4">
            <w:pPr>
              <w:jc w:val="left"/>
              <w:rPr>
                <w:rFonts w:asciiTheme="majorHAnsi" w:hAnsiTheme="majorHAnsi"/>
                <w:szCs w:val="22"/>
              </w:rPr>
            </w:pPr>
            <w:r>
              <w:rPr>
                <w:rFonts w:asciiTheme="majorHAnsi" w:hAnsiTheme="majorHAnsi" w:cs="Times New Roman"/>
                <w:szCs w:val="22"/>
              </w:rPr>
              <w:t>Locality</w:t>
            </w:r>
          </w:p>
        </w:tc>
        <w:tc>
          <w:tcPr>
            <w:tcW w:w="4308" w:type="dxa"/>
          </w:tcPr>
          <w:p w14:paraId="15DC08E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children of official primary school-entrance age who enter the first grade of primary education for the first time by the population of the same age, and multiply the result by 100. This indicator has dimension values of sex and locality.</w:t>
            </w:r>
          </w:p>
        </w:tc>
      </w:tr>
      <w:tr w:rsidR="00212707" w:rsidRPr="001766D9" w14:paraId="33B5BE74" w14:textId="77777777" w:rsidTr="00B4296D">
        <w:trPr>
          <w:cantSplit/>
        </w:trPr>
        <w:tc>
          <w:tcPr>
            <w:tcW w:w="534" w:type="dxa"/>
          </w:tcPr>
          <w:p w14:paraId="2BD64230" w14:textId="57694342" w:rsidR="000C50CD" w:rsidRPr="001766D9" w:rsidRDefault="00361A07" w:rsidP="003363E4">
            <w:pPr>
              <w:jc w:val="left"/>
              <w:rPr>
                <w:rFonts w:asciiTheme="majorHAnsi" w:hAnsiTheme="majorHAnsi"/>
                <w:szCs w:val="22"/>
              </w:rPr>
            </w:pPr>
            <w:r>
              <w:rPr>
                <w:rFonts w:asciiTheme="majorHAnsi" w:hAnsiTheme="majorHAnsi"/>
                <w:szCs w:val="22"/>
              </w:rPr>
              <w:t>7</w:t>
            </w:r>
          </w:p>
        </w:tc>
        <w:tc>
          <w:tcPr>
            <w:tcW w:w="1417" w:type="dxa"/>
          </w:tcPr>
          <w:p w14:paraId="55B5EDAC"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Gross Intake Rate</w:t>
            </w:r>
          </w:p>
        </w:tc>
        <w:tc>
          <w:tcPr>
            <w:tcW w:w="709" w:type="dxa"/>
          </w:tcPr>
          <w:p w14:paraId="3F6BCF34"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GIR</w:t>
            </w:r>
          </w:p>
        </w:tc>
        <w:tc>
          <w:tcPr>
            <w:tcW w:w="992" w:type="dxa"/>
          </w:tcPr>
          <w:p w14:paraId="25F8D110"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55791E1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22852D6E" w14:textId="3B1AFAB0" w:rsidR="000C50CD" w:rsidRPr="001766D9" w:rsidRDefault="005516DE"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A2CA834" w14:textId="014DF9CF" w:rsidR="000C50CD" w:rsidRPr="001766D9" w:rsidRDefault="005516DE" w:rsidP="003363E4">
            <w:pPr>
              <w:jc w:val="left"/>
              <w:rPr>
                <w:rFonts w:asciiTheme="majorHAnsi" w:hAnsiTheme="majorHAnsi"/>
                <w:szCs w:val="22"/>
              </w:rPr>
            </w:pPr>
            <w:r>
              <w:rPr>
                <w:rFonts w:asciiTheme="majorHAnsi" w:hAnsiTheme="majorHAnsi" w:cs="Times New Roman"/>
                <w:szCs w:val="22"/>
              </w:rPr>
              <w:t xml:space="preserve">Locality </w:t>
            </w:r>
          </w:p>
        </w:tc>
        <w:tc>
          <w:tcPr>
            <w:tcW w:w="4308" w:type="dxa"/>
          </w:tcPr>
          <w:p w14:paraId="4E3DCB86"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new entrants in grade 1, irrespective of age, by the population of official school-entrance age, and multiply the result by 100. This indicator has dimension values of sex, locality and grade.</w:t>
            </w:r>
          </w:p>
        </w:tc>
      </w:tr>
      <w:tr w:rsidR="00212707" w:rsidRPr="001766D9" w14:paraId="3CA0945F" w14:textId="77777777" w:rsidTr="00B4296D">
        <w:trPr>
          <w:cantSplit/>
        </w:trPr>
        <w:tc>
          <w:tcPr>
            <w:tcW w:w="534" w:type="dxa"/>
          </w:tcPr>
          <w:p w14:paraId="5E583BC2" w14:textId="3AF11042" w:rsidR="000C50CD" w:rsidRPr="001766D9" w:rsidRDefault="00361A07" w:rsidP="003363E4">
            <w:pPr>
              <w:jc w:val="left"/>
              <w:rPr>
                <w:rFonts w:asciiTheme="majorHAnsi" w:hAnsiTheme="majorHAnsi"/>
                <w:szCs w:val="22"/>
              </w:rPr>
            </w:pPr>
            <w:r>
              <w:rPr>
                <w:rFonts w:asciiTheme="majorHAnsi" w:hAnsiTheme="majorHAnsi"/>
                <w:szCs w:val="22"/>
              </w:rPr>
              <w:t>8</w:t>
            </w:r>
          </w:p>
        </w:tc>
        <w:tc>
          <w:tcPr>
            <w:tcW w:w="1417" w:type="dxa"/>
          </w:tcPr>
          <w:p w14:paraId="79F97696"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Repetition Rate</w:t>
            </w:r>
          </w:p>
        </w:tc>
        <w:tc>
          <w:tcPr>
            <w:tcW w:w="709" w:type="dxa"/>
          </w:tcPr>
          <w:p w14:paraId="72475505"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RR</w:t>
            </w:r>
          </w:p>
        </w:tc>
        <w:tc>
          <w:tcPr>
            <w:tcW w:w="992" w:type="dxa"/>
          </w:tcPr>
          <w:p w14:paraId="35959CD3"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47AE15CE"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6A76842A" w14:textId="77777777" w:rsidR="005516DE" w:rsidRPr="001766D9" w:rsidRDefault="005516DE"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7099273B" w14:textId="5FB92216" w:rsidR="000C50CD" w:rsidRPr="001766D9" w:rsidRDefault="005516DE"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3E82FA65" w14:textId="0D595963" w:rsidR="000C50CD" w:rsidRPr="001766D9" w:rsidRDefault="005516DE" w:rsidP="003363E4">
            <w:pPr>
              <w:jc w:val="left"/>
              <w:rPr>
                <w:rFonts w:asciiTheme="majorHAnsi" w:hAnsiTheme="majorHAnsi" w:cs="Times New Roman"/>
                <w:szCs w:val="22"/>
              </w:rPr>
            </w:pPr>
            <w:r>
              <w:rPr>
                <w:rFonts w:asciiTheme="majorHAnsi" w:hAnsiTheme="majorHAnsi" w:cs="Times New Roman"/>
                <w:szCs w:val="22"/>
              </w:rPr>
              <w:t>Sector</w:t>
            </w:r>
          </w:p>
          <w:p w14:paraId="41CCC730"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Grade</w:t>
            </w:r>
          </w:p>
        </w:tc>
        <w:tc>
          <w:tcPr>
            <w:tcW w:w="4308" w:type="dxa"/>
          </w:tcPr>
          <w:p w14:paraId="680255C0"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repeaters in a given grade in school year t+1  by the number of pupils from the same cohort enrolled in the same grade in the previous school year t. This indicator has dimension values of sex, locality, sector and grade.</w:t>
            </w:r>
          </w:p>
        </w:tc>
      </w:tr>
      <w:tr w:rsidR="00212707" w:rsidRPr="001766D9" w14:paraId="1732D451" w14:textId="77777777" w:rsidTr="00B4296D">
        <w:trPr>
          <w:cantSplit/>
        </w:trPr>
        <w:tc>
          <w:tcPr>
            <w:tcW w:w="534" w:type="dxa"/>
          </w:tcPr>
          <w:p w14:paraId="7768D062" w14:textId="4C2E54C3" w:rsidR="000C50CD" w:rsidRPr="001766D9" w:rsidRDefault="00361A07" w:rsidP="003363E4">
            <w:pPr>
              <w:jc w:val="left"/>
              <w:rPr>
                <w:rFonts w:asciiTheme="majorHAnsi" w:hAnsiTheme="majorHAnsi"/>
                <w:szCs w:val="22"/>
              </w:rPr>
            </w:pPr>
            <w:r>
              <w:rPr>
                <w:rFonts w:asciiTheme="majorHAnsi" w:hAnsiTheme="majorHAnsi"/>
                <w:szCs w:val="22"/>
              </w:rPr>
              <w:lastRenderedPageBreak/>
              <w:t>9</w:t>
            </w:r>
          </w:p>
        </w:tc>
        <w:tc>
          <w:tcPr>
            <w:tcW w:w="1417" w:type="dxa"/>
          </w:tcPr>
          <w:p w14:paraId="0B0F3192"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Completion Rate</w:t>
            </w:r>
          </w:p>
        </w:tc>
        <w:tc>
          <w:tcPr>
            <w:tcW w:w="709" w:type="dxa"/>
          </w:tcPr>
          <w:p w14:paraId="60ED6C27"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CR</w:t>
            </w:r>
          </w:p>
        </w:tc>
        <w:tc>
          <w:tcPr>
            <w:tcW w:w="992" w:type="dxa"/>
          </w:tcPr>
          <w:p w14:paraId="0F5B0444"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31BF4DF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7EC0FD7F"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4CC9E520"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612D48EC" w14:textId="43A3D901" w:rsidR="000C50CD"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tc>
        <w:tc>
          <w:tcPr>
            <w:tcW w:w="4308" w:type="dxa"/>
          </w:tcPr>
          <w:p w14:paraId="21536412"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primary graduates, irrespective of age, by the population of theoretical primary graduation, and multiply the result by 100. This indicator has dimension values of sex, locality and sector.</w:t>
            </w:r>
          </w:p>
        </w:tc>
      </w:tr>
      <w:tr w:rsidR="00212707" w:rsidRPr="001766D9" w14:paraId="2596F173" w14:textId="77777777" w:rsidTr="00B4296D">
        <w:trPr>
          <w:cantSplit/>
        </w:trPr>
        <w:tc>
          <w:tcPr>
            <w:tcW w:w="534" w:type="dxa"/>
          </w:tcPr>
          <w:p w14:paraId="1407EFBC" w14:textId="6817F300" w:rsidR="000C50CD" w:rsidRPr="001766D9" w:rsidRDefault="000C50CD" w:rsidP="003363E4">
            <w:pPr>
              <w:jc w:val="left"/>
              <w:rPr>
                <w:rFonts w:asciiTheme="majorHAnsi" w:hAnsiTheme="majorHAnsi"/>
                <w:szCs w:val="22"/>
              </w:rPr>
            </w:pPr>
            <w:r w:rsidRPr="001766D9">
              <w:rPr>
                <w:rFonts w:asciiTheme="majorHAnsi" w:hAnsiTheme="majorHAnsi"/>
                <w:szCs w:val="22"/>
              </w:rPr>
              <w:t>1</w:t>
            </w:r>
            <w:r w:rsidR="00361A07">
              <w:rPr>
                <w:rFonts w:asciiTheme="majorHAnsi" w:hAnsiTheme="majorHAnsi"/>
                <w:szCs w:val="22"/>
              </w:rPr>
              <w:t>0</w:t>
            </w:r>
          </w:p>
        </w:tc>
        <w:tc>
          <w:tcPr>
            <w:tcW w:w="1417" w:type="dxa"/>
          </w:tcPr>
          <w:p w14:paraId="0F84BDA4"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Survival Rate</w:t>
            </w:r>
          </w:p>
        </w:tc>
        <w:tc>
          <w:tcPr>
            <w:tcW w:w="709" w:type="dxa"/>
          </w:tcPr>
          <w:p w14:paraId="726BF4D9"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SR</w:t>
            </w:r>
          </w:p>
        </w:tc>
        <w:tc>
          <w:tcPr>
            <w:tcW w:w="992" w:type="dxa"/>
          </w:tcPr>
          <w:p w14:paraId="329D127B"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4EDAD705"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5748F652"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251E80BB"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6740D462" w14:textId="314E3A99" w:rsidR="000C50CD"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tc>
        <w:tc>
          <w:tcPr>
            <w:tcW w:w="4308" w:type="dxa"/>
          </w:tcPr>
          <w:p w14:paraId="3D20923D"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total number of pupils belonging to a school-cohort who reached each successive grade of the specified level of education by the number of pupils in the school-cohort i.e. those originally enrolled in the first grade of primary education, and multiply the result by 100. The survival rate is calculated on the basis of the reconstructed cohort method, which uses data on enrolment and repeaters for two consecutive years. This indicator has dimension values of sex, locality and sector.</w:t>
            </w:r>
          </w:p>
        </w:tc>
      </w:tr>
      <w:tr w:rsidR="00212707" w:rsidRPr="001766D9" w14:paraId="162F6F0F" w14:textId="77777777" w:rsidTr="00B4296D">
        <w:trPr>
          <w:cantSplit/>
        </w:trPr>
        <w:tc>
          <w:tcPr>
            <w:tcW w:w="534" w:type="dxa"/>
          </w:tcPr>
          <w:p w14:paraId="2AB9809A" w14:textId="10FA1EF9"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1</w:t>
            </w:r>
            <w:r w:rsidR="00361A07">
              <w:rPr>
                <w:rFonts w:asciiTheme="majorHAnsi" w:hAnsiTheme="majorHAnsi" w:cs="Times New Roman"/>
                <w:szCs w:val="22"/>
              </w:rPr>
              <w:t>1</w:t>
            </w:r>
          </w:p>
        </w:tc>
        <w:tc>
          <w:tcPr>
            <w:tcW w:w="1417" w:type="dxa"/>
          </w:tcPr>
          <w:p w14:paraId="298753C9"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Transition Rate</w:t>
            </w:r>
          </w:p>
        </w:tc>
        <w:tc>
          <w:tcPr>
            <w:tcW w:w="709" w:type="dxa"/>
          </w:tcPr>
          <w:p w14:paraId="47A61691"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TR</w:t>
            </w:r>
          </w:p>
        </w:tc>
        <w:tc>
          <w:tcPr>
            <w:tcW w:w="992" w:type="dxa"/>
          </w:tcPr>
          <w:p w14:paraId="49BC9CA1"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Rate</w:t>
            </w:r>
          </w:p>
        </w:tc>
        <w:tc>
          <w:tcPr>
            <w:tcW w:w="1276" w:type="dxa"/>
          </w:tcPr>
          <w:p w14:paraId="63D1B22A"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212AC950"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0179D1B7"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396F102E"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6430B172"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Grade</w:t>
            </w:r>
          </w:p>
        </w:tc>
        <w:tc>
          <w:tcPr>
            <w:tcW w:w="4308" w:type="dxa"/>
          </w:tcPr>
          <w:p w14:paraId="3B1455E1"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new entrants in the first grade of the specified higher cycle or level of education by the number of pupils who were enrolled in the final grade of the preceding cycle or level of education in the previous school year, and multiply by 100. This indicator has dimension values of sex, locality, sector and grade.</w:t>
            </w:r>
          </w:p>
        </w:tc>
      </w:tr>
      <w:tr w:rsidR="00212707" w:rsidRPr="001766D9" w14:paraId="214E6E41" w14:textId="77777777" w:rsidTr="00B4296D">
        <w:trPr>
          <w:cantSplit/>
        </w:trPr>
        <w:tc>
          <w:tcPr>
            <w:tcW w:w="534" w:type="dxa"/>
          </w:tcPr>
          <w:p w14:paraId="34C44F84" w14:textId="49D36AC9"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1</w:t>
            </w:r>
            <w:r w:rsidR="00361A07">
              <w:rPr>
                <w:rFonts w:asciiTheme="majorHAnsi" w:hAnsiTheme="majorHAnsi" w:cs="Times New Roman"/>
                <w:szCs w:val="22"/>
              </w:rPr>
              <w:t>2</w:t>
            </w:r>
          </w:p>
        </w:tc>
        <w:tc>
          <w:tcPr>
            <w:tcW w:w="1417" w:type="dxa"/>
          </w:tcPr>
          <w:p w14:paraId="6A2B5637"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Pupil Teacher Ratio</w:t>
            </w:r>
          </w:p>
        </w:tc>
        <w:tc>
          <w:tcPr>
            <w:tcW w:w="709" w:type="dxa"/>
          </w:tcPr>
          <w:p w14:paraId="1B975EF7"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PTR</w:t>
            </w:r>
          </w:p>
        </w:tc>
        <w:tc>
          <w:tcPr>
            <w:tcW w:w="992" w:type="dxa"/>
          </w:tcPr>
          <w:p w14:paraId="1922DB30"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Ratio</w:t>
            </w:r>
          </w:p>
        </w:tc>
        <w:tc>
          <w:tcPr>
            <w:tcW w:w="1276" w:type="dxa"/>
          </w:tcPr>
          <w:p w14:paraId="74CC7F1D"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4356EFF"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70F02964"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32F48301"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Level of Education</w:t>
            </w:r>
          </w:p>
        </w:tc>
        <w:tc>
          <w:tcPr>
            <w:tcW w:w="4308" w:type="dxa"/>
          </w:tcPr>
          <w:p w14:paraId="69529C98"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Divide the total number of pupils enrolled at the specified level of education by the number of teachers at the same level. This indicator has dimension values of locality, sector and level of education.</w:t>
            </w:r>
          </w:p>
        </w:tc>
      </w:tr>
      <w:tr w:rsidR="00212707" w:rsidRPr="001766D9" w14:paraId="6E5AB39B" w14:textId="77777777" w:rsidTr="00B4296D">
        <w:trPr>
          <w:cantSplit/>
        </w:trPr>
        <w:tc>
          <w:tcPr>
            <w:tcW w:w="534" w:type="dxa"/>
          </w:tcPr>
          <w:p w14:paraId="58E870D4" w14:textId="7DA9124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1</w:t>
            </w:r>
            <w:r w:rsidR="00361A07">
              <w:rPr>
                <w:rFonts w:asciiTheme="majorHAnsi" w:hAnsiTheme="majorHAnsi" w:cs="Times New Roman"/>
                <w:szCs w:val="22"/>
              </w:rPr>
              <w:t>3</w:t>
            </w:r>
          </w:p>
        </w:tc>
        <w:tc>
          <w:tcPr>
            <w:tcW w:w="1417" w:type="dxa"/>
          </w:tcPr>
          <w:p w14:paraId="683D5E36"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Pupil Class Ratio</w:t>
            </w:r>
          </w:p>
        </w:tc>
        <w:tc>
          <w:tcPr>
            <w:tcW w:w="709" w:type="dxa"/>
          </w:tcPr>
          <w:p w14:paraId="15543EB9"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PCR</w:t>
            </w:r>
          </w:p>
        </w:tc>
        <w:tc>
          <w:tcPr>
            <w:tcW w:w="992" w:type="dxa"/>
          </w:tcPr>
          <w:p w14:paraId="5BF6F168"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Ratio</w:t>
            </w:r>
          </w:p>
        </w:tc>
        <w:tc>
          <w:tcPr>
            <w:tcW w:w="1276" w:type="dxa"/>
          </w:tcPr>
          <w:p w14:paraId="2A4475B7"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1F64AA79"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11C45D93" w14:textId="5B65565A" w:rsidR="000C50CD"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tc>
        <w:tc>
          <w:tcPr>
            <w:tcW w:w="4308" w:type="dxa"/>
          </w:tcPr>
          <w:p w14:paraId="35468B4C"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Divide the total number of pupils enrolled at the specified level of education by the number of classes at the same level. This indicator has dimension values of locality and sector.</w:t>
            </w:r>
          </w:p>
        </w:tc>
      </w:tr>
      <w:tr w:rsidR="00212707" w:rsidRPr="001766D9" w14:paraId="3E851876" w14:textId="77777777" w:rsidTr="00B4296D">
        <w:trPr>
          <w:cantSplit/>
        </w:trPr>
        <w:tc>
          <w:tcPr>
            <w:tcW w:w="534" w:type="dxa"/>
          </w:tcPr>
          <w:p w14:paraId="28A928B6" w14:textId="607A1092"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1</w:t>
            </w:r>
            <w:r w:rsidR="00361A07">
              <w:rPr>
                <w:rFonts w:asciiTheme="majorHAnsi" w:hAnsiTheme="majorHAnsi" w:cs="Times New Roman"/>
                <w:szCs w:val="22"/>
              </w:rPr>
              <w:t>4</w:t>
            </w:r>
          </w:p>
        </w:tc>
        <w:tc>
          <w:tcPr>
            <w:tcW w:w="1417" w:type="dxa"/>
          </w:tcPr>
          <w:p w14:paraId="7C8B9B11" w14:textId="49A33438" w:rsidR="000C50CD" w:rsidRPr="001766D9" w:rsidRDefault="00361A07" w:rsidP="003363E4">
            <w:pPr>
              <w:jc w:val="left"/>
              <w:rPr>
                <w:rFonts w:asciiTheme="majorHAnsi" w:hAnsiTheme="majorHAnsi"/>
                <w:szCs w:val="22"/>
              </w:rPr>
            </w:pPr>
            <w:r w:rsidRPr="001766D9">
              <w:rPr>
                <w:rFonts w:asciiTheme="majorHAnsi" w:hAnsiTheme="majorHAnsi"/>
                <w:szCs w:val="22"/>
              </w:rPr>
              <w:t>Percent</w:t>
            </w:r>
            <w:r w:rsidRPr="001766D9">
              <w:rPr>
                <w:rFonts w:asciiTheme="majorHAnsi" w:hAnsiTheme="majorHAnsi" w:cs="Times New Roman"/>
                <w:szCs w:val="22"/>
              </w:rPr>
              <w:t xml:space="preserve"> </w:t>
            </w:r>
            <w:r>
              <w:rPr>
                <w:rFonts w:asciiTheme="majorHAnsi" w:hAnsiTheme="majorHAnsi" w:cs="Times New Roman"/>
                <w:szCs w:val="22"/>
              </w:rPr>
              <w:t xml:space="preserve">of </w:t>
            </w:r>
            <w:r w:rsidR="000C50CD" w:rsidRPr="001766D9">
              <w:rPr>
                <w:rFonts w:asciiTheme="majorHAnsi" w:hAnsiTheme="majorHAnsi" w:cs="Times New Roman"/>
                <w:szCs w:val="22"/>
              </w:rPr>
              <w:t>Trained Teachers</w:t>
            </w:r>
          </w:p>
        </w:tc>
        <w:tc>
          <w:tcPr>
            <w:tcW w:w="709" w:type="dxa"/>
          </w:tcPr>
          <w:p w14:paraId="12C8C9EC" w14:textId="63C8652F" w:rsidR="000C50CD" w:rsidRPr="001766D9" w:rsidRDefault="000C50CD" w:rsidP="003363E4">
            <w:pPr>
              <w:jc w:val="left"/>
              <w:rPr>
                <w:rFonts w:asciiTheme="majorHAnsi" w:hAnsiTheme="majorHAnsi"/>
                <w:szCs w:val="22"/>
              </w:rPr>
            </w:pPr>
          </w:p>
        </w:tc>
        <w:tc>
          <w:tcPr>
            <w:tcW w:w="992" w:type="dxa"/>
          </w:tcPr>
          <w:p w14:paraId="3BF72832"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Percent</w:t>
            </w:r>
          </w:p>
        </w:tc>
        <w:tc>
          <w:tcPr>
            <w:tcW w:w="1276" w:type="dxa"/>
          </w:tcPr>
          <w:p w14:paraId="59AE9223"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19292195"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59FA14F0"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27871358"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Level of Education</w:t>
            </w:r>
          </w:p>
        </w:tc>
        <w:tc>
          <w:tcPr>
            <w:tcW w:w="4308" w:type="dxa"/>
          </w:tcPr>
          <w:p w14:paraId="03FDE69F"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teachers of the specified level of education who have received the minimum required teacher training by the total number of teachers at the same level of education, and multiply the result by 100. This indicator has dimension values of locality, sector and level of education.</w:t>
            </w:r>
          </w:p>
        </w:tc>
      </w:tr>
      <w:tr w:rsidR="00212707" w:rsidRPr="001766D9" w14:paraId="39C464FD" w14:textId="77777777" w:rsidTr="00B4296D">
        <w:trPr>
          <w:cantSplit/>
        </w:trPr>
        <w:tc>
          <w:tcPr>
            <w:tcW w:w="534" w:type="dxa"/>
          </w:tcPr>
          <w:p w14:paraId="13083146" w14:textId="6D3C7DD4"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lastRenderedPageBreak/>
              <w:t>1</w:t>
            </w:r>
            <w:r w:rsidR="00361A07">
              <w:rPr>
                <w:rFonts w:asciiTheme="majorHAnsi" w:hAnsiTheme="majorHAnsi" w:cs="Times New Roman"/>
                <w:szCs w:val="22"/>
              </w:rPr>
              <w:t>5</w:t>
            </w:r>
          </w:p>
        </w:tc>
        <w:tc>
          <w:tcPr>
            <w:tcW w:w="1417" w:type="dxa"/>
          </w:tcPr>
          <w:p w14:paraId="3C570C11"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Gender Parity Index (Students)</w:t>
            </w:r>
          </w:p>
        </w:tc>
        <w:tc>
          <w:tcPr>
            <w:tcW w:w="709" w:type="dxa"/>
          </w:tcPr>
          <w:p w14:paraId="7276C682"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GPI</w:t>
            </w:r>
          </w:p>
        </w:tc>
        <w:tc>
          <w:tcPr>
            <w:tcW w:w="992" w:type="dxa"/>
          </w:tcPr>
          <w:p w14:paraId="51AA5D5D"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Ratio</w:t>
            </w:r>
          </w:p>
        </w:tc>
        <w:tc>
          <w:tcPr>
            <w:tcW w:w="1276" w:type="dxa"/>
          </w:tcPr>
          <w:p w14:paraId="0FCCA79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6A0223C9"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F23C5BC"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4A65B6D5"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3941F2A4"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Level of Education</w:t>
            </w:r>
          </w:p>
        </w:tc>
        <w:tc>
          <w:tcPr>
            <w:tcW w:w="4308" w:type="dxa"/>
          </w:tcPr>
          <w:p w14:paraId="32066102"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Divide the number of female students by the number of male students. This indicator has dimension values of sex, locality, sector and level of education.</w:t>
            </w:r>
          </w:p>
        </w:tc>
      </w:tr>
      <w:tr w:rsidR="00212707" w:rsidRPr="001766D9" w14:paraId="70AE02F7" w14:textId="77777777" w:rsidTr="00B4296D">
        <w:trPr>
          <w:cantSplit/>
        </w:trPr>
        <w:tc>
          <w:tcPr>
            <w:tcW w:w="534" w:type="dxa"/>
          </w:tcPr>
          <w:p w14:paraId="3E6320E4" w14:textId="4DB19F6F"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1</w:t>
            </w:r>
            <w:r w:rsidR="00361A07">
              <w:rPr>
                <w:rFonts w:asciiTheme="majorHAnsi" w:hAnsiTheme="majorHAnsi" w:cs="Times New Roman"/>
                <w:szCs w:val="22"/>
              </w:rPr>
              <w:t>6</w:t>
            </w:r>
          </w:p>
        </w:tc>
        <w:tc>
          <w:tcPr>
            <w:tcW w:w="1417" w:type="dxa"/>
          </w:tcPr>
          <w:p w14:paraId="7BF1A2A4" w14:textId="42E79746" w:rsidR="000C50CD" w:rsidRPr="001766D9" w:rsidRDefault="00361A07" w:rsidP="003363E4">
            <w:pPr>
              <w:jc w:val="left"/>
              <w:rPr>
                <w:rFonts w:asciiTheme="majorHAnsi" w:hAnsiTheme="majorHAnsi"/>
                <w:szCs w:val="22"/>
              </w:rPr>
            </w:pPr>
            <w:r w:rsidRPr="001766D9">
              <w:rPr>
                <w:rFonts w:asciiTheme="majorHAnsi" w:hAnsiTheme="majorHAnsi"/>
                <w:szCs w:val="22"/>
              </w:rPr>
              <w:t>Percent</w:t>
            </w:r>
            <w:r w:rsidRPr="001766D9">
              <w:rPr>
                <w:rFonts w:asciiTheme="majorHAnsi" w:hAnsiTheme="majorHAnsi" w:cs="Times New Roman"/>
                <w:szCs w:val="22"/>
              </w:rPr>
              <w:t xml:space="preserve"> </w:t>
            </w:r>
            <w:r>
              <w:rPr>
                <w:rFonts w:asciiTheme="majorHAnsi" w:hAnsiTheme="majorHAnsi" w:cs="Times New Roman"/>
                <w:szCs w:val="22"/>
              </w:rPr>
              <w:t xml:space="preserve">of </w:t>
            </w:r>
            <w:r w:rsidR="000C50CD" w:rsidRPr="001766D9">
              <w:rPr>
                <w:rFonts w:asciiTheme="majorHAnsi" w:hAnsiTheme="majorHAnsi" w:cs="Times New Roman"/>
                <w:szCs w:val="22"/>
              </w:rPr>
              <w:t>Female Students</w:t>
            </w:r>
          </w:p>
        </w:tc>
        <w:tc>
          <w:tcPr>
            <w:tcW w:w="709" w:type="dxa"/>
          </w:tcPr>
          <w:p w14:paraId="7FF96948" w14:textId="0F924A7F" w:rsidR="000C50CD" w:rsidRPr="001766D9" w:rsidRDefault="000C50CD" w:rsidP="003363E4">
            <w:pPr>
              <w:jc w:val="left"/>
              <w:rPr>
                <w:rFonts w:asciiTheme="majorHAnsi" w:hAnsiTheme="majorHAnsi"/>
                <w:szCs w:val="22"/>
              </w:rPr>
            </w:pPr>
          </w:p>
        </w:tc>
        <w:tc>
          <w:tcPr>
            <w:tcW w:w="992" w:type="dxa"/>
          </w:tcPr>
          <w:p w14:paraId="1E48EB2A"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Percent</w:t>
            </w:r>
          </w:p>
        </w:tc>
        <w:tc>
          <w:tcPr>
            <w:tcW w:w="1276" w:type="dxa"/>
          </w:tcPr>
          <w:p w14:paraId="3B23D4D5"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8A8C5D8"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2DBAE0D6"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7BD0B016"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Field of Education</w:t>
            </w:r>
          </w:p>
        </w:tc>
        <w:tc>
          <w:tcPr>
            <w:tcW w:w="4308" w:type="dxa"/>
          </w:tcPr>
          <w:p w14:paraId="10002592"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female tertiary students enrolled in a specified ISCED level by the total number of students (male plus female) in that level in a given academic-year, and multiply the result by 100. This indicator has dimension values of locality, sector and level of education.</w:t>
            </w:r>
          </w:p>
        </w:tc>
      </w:tr>
      <w:tr w:rsidR="00212707" w:rsidRPr="001766D9" w14:paraId="30CE07C5" w14:textId="77777777" w:rsidTr="00B4296D">
        <w:trPr>
          <w:cantSplit/>
        </w:trPr>
        <w:tc>
          <w:tcPr>
            <w:tcW w:w="534" w:type="dxa"/>
          </w:tcPr>
          <w:p w14:paraId="5EB4AF05" w14:textId="0401D8D9" w:rsidR="000C50CD" w:rsidRPr="001766D9" w:rsidRDefault="00361A07" w:rsidP="003363E4">
            <w:pPr>
              <w:jc w:val="left"/>
              <w:rPr>
                <w:rFonts w:asciiTheme="majorHAnsi" w:hAnsiTheme="majorHAnsi" w:cs="Times New Roman"/>
                <w:szCs w:val="22"/>
              </w:rPr>
            </w:pPr>
            <w:r>
              <w:rPr>
                <w:rFonts w:asciiTheme="majorHAnsi" w:hAnsiTheme="majorHAnsi" w:cs="Times New Roman"/>
                <w:szCs w:val="22"/>
              </w:rPr>
              <w:t>17</w:t>
            </w:r>
          </w:p>
        </w:tc>
        <w:tc>
          <w:tcPr>
            <w:tcW w:w="1417" w:type="dxa"/>
          </w:tcPr>
          <w:p w14:paraId="54AB453B" w14:textId="008D2C42" w:rsidR="000C50CD" w:rsidRPr="001766D9" w:rsidRDefault="00361A07" w:rsidP="003363E4">
            <w:pPr>
              <w:jc w:val="left"/>
              <w:rPr>
                <w:rFonts w:asciiTheme="majorHAnsi" w:hAnsiTheme="majorHAnsi"/>
                <w:szCs w:val="22"/>
              </w:rPr>
            </w:pPr>
            <w:r w:rsidRPr="001766D9">
              <w:rPr>
                <w:rFonts w:asciiTheme="majorHAnsi" w:hAnsiTheme="majorHAnsi"/>
                <w:szCs w:val="22"/>
              </w:rPr>
              <w:t>Percent</w:t>
            </w:r>
            <w:r w:rsidRPr="001766D9">
              <w:rPr>
                <w:rFonts w:asciiTheme="majorHAnsi" w:hAnsiTheme="majorHAnsi" w:cs="Times New Roman"/>
                <w:szCs w:val="22"/>
              </w:rPr>
              <w:t xml:space="preserve"> </w:t>
            </w:r>
            <w:r>
              <w:rPr>
                <w:rFonts w:asciiTheme="majorHAnsi" w:hAnsiTheme="majorHAnsi" w:cs="Times New Roman"/>
                <w:szCs w:val="22"/>
              </w:rPr>
              <w:t xml:space="preserve">of </w:t>
            </w:r>
            <w:r w:rsidR="000C50CD" w:rsidRPr="001766D9">
              <w:rPr>
                <w:rFonts w:asciiTheme="majorHAnsi" w:hAnsiTheme="majorHAnsi" w:cs="Times New Roman"/>
                <w:szCs w:val="22"/>
              </w:rPr>
              <w:t>Female Teachers</w:t>
            </w:r>
          </w:p>
        </w:tc>
        <w:tc>
          <w:tcPr>
            <w:tcW w:w="709" w:type="dxa"/>
          </w:tcPr>
          <w:p w14:paraId="498BD049" w14:textId="7A4092AB" w:rsidR="000C50CD" w:rsidRPr="001766D9" w:rsidRDefault="000C50CD" w:rsidP="003363E4">
            <w:pPr>
              <w:jc w:val="left"/>
              <w:rPr>
                <w:rFonts w:asciiTheme="majorHAnsi" w:hAnsiTheme="majorHAnsi"/>
                <w:szCs w:val="22"/>
              </w:rPr>
            </w:pPr>
          </w:p>
        </w:tc>
        <w:tc>
          <w:tcPr>
            <w:tcW w:w="992" w:type="dxa"/>
          </w:tcPr>
          <w:p w14:paraId="13C250EC"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Percent</w:t>
            </w:r>
          </w:p>
        </w:tc>
        <w:tc>
          <w:tcPr>
            <w:tcW w:w="1276" w:type="dxa"/>
          </w:tcPr>
          <w:p w14:paraId="755044C3"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236AD092"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53D041E3"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4AB11750"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Level of Education</w:t>
            </w:r>
          </w:p>
        </w:tc>
        <w:tc>
          <w:tcPr>
            <w:tcW w:w="4308" w:type="dxa"/>
          </w:tcPr>
          <w:p w14:paraId="06D83DF8"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total number of female teachers at a given level of education by the total number of teachers (male and female) at the same level in a given school year, and multiply by 100. This indicator has dimension values of locality, sector and level of education.</w:t>
            </w:r>
          </w:p>
        </w:tc>
      </w:tr>
      <w:tr w:rsidR="00212707" w:rsidRPr="001766D9" w14:paraId="7455CFBD" w14:textId="77777777" w:rsidTr="00B4296D">
        <w:trPr>
          <w:cantSplit/>
        </w:trPr>
        <w:tc>
          <w:tcPr>
            <w:tcW w:w="534" w:type="dxa"/>
          </w:tcPr>
          <w:p w14:paraId="6B0CDEA4" w14:textId="71051AC3" w:rsidR="000C50CD" w:rsidRPr="001766D9" w:rsidRDefault="00361A07" w:rsidP="003363E4">
            <w:pPr>
              <w:jc w:val="left"/>
              <w:rPr>
                <w:rFonts w:asciiTheme="majorHAnsi" w:hAnsiTheme="majorHAnsi" w:cs="Times New Roman"/>
                <w:szCs w:val="22"/>
              </w:rPr>
            </w:pPr>
            <w:r>
              <w:rPr>
                <w:rFonts w:asciiTheme="majorHAnsi" w:hAnsiTheme="majorHAnsi" w:cs="Times New Roman"/>
                <w:szCs w:val="22"/>
              </w:rPr>
              <w:t>18</w:t>
            </w:r>
          </w:p>
        </w:tc>
        <w:tc>
          <w:tcPr>
            <w:tcW w:w="1417" w:type="dxa"/>
          </w:tcPr>
          <w:p w14:paraId="67C61DC1" w14:textId="12CB4519" w:rsidR="000C50CD" w:rsidRPr="001766D9" w:rsidRDefault="00361A07" w:rsidP="003363E4">
            <w:pPr>
              <w:jc w:val="left"/>
              <w:rPr>
                <w:rFonts w:asciiTheme="majorHAnsi" w:hAnsiTheme="majorHAnsi"/>
                <w:szCs w:val="22"/>
              </w:rPr>
            </w:pPr>
            <w:r w:rsidRPr="001766D9">
              <w:rPr>
                <w:rFonts w:asciiTheme="majorHAnsi" w:hAnsiTheme="majorHAnsi"/>
                <w:szCs w:val="22"/>
              </w:rPr>
              <w:t>Percent</w:t>
            </w:r>
            <w:r w:rsidRPr="001766D9">
              <w:rPr>
                <w:rFonts w:asciiTheme="majorHAnsi" w:hAnsiTheme="majorHAnsi" w:cs="Times New Roman"/>
                <w:szCs w:val="22"/>
              </w:rPr>
              <w:t xml:space="preserve"> </w:t>
            </w:r>
            <w:r>
              <w:rPr>
                <w:rFonts w:asciiTheme="majorHAnsi" w:hAnsiTheme="majorHAnsi" w:cs="Times New Roman"/>
                <w:szCs w:val="22"/>
              </w:rPr>
              <w:t xml:space="preserve">of </w:t>
            </w:r>
            <w:r w:rsidR="000C50CD" w:rsidRPr="001766D9">
              <w:rPr>
                <w:rFonts w:asciiTheme="majorHAnsi" w:hAnsiTheme="majorHAnsi" w:cs="Times New Roman"/>
                <w:szCs w:val="22"/>
              </w:rPr>
              <w:t>Private Enrolment</w:t>
            </w:r>
          </w:p>
        </w:tc>
        <w:tc>
          <w:tcPr>
            <w:tcW w:w="709" w:type="dxa"/>
          </w:tcPr>
          <w:p w14:paraId="36706FC6" w14:textId="1A47B497" w:rsidR="000C50CD" w:rsidRPr="001766D9" w:rsidRDefault="000C50CD" w:rsidP="003363E4">
            <w:pPr>
              <w:jc w:val="left"/>
              <w:rPr>
                <w:rFonts w:asciiTheme="majorHAnsi" w:hAnsiTheme="majorHAnsi"/>
                <w:szCs w:val="22"/>
              </w:rPr>
            </w:pPr>
          </w:p>
        </w:tc>
        <w:tc>
          <w:tcPr>
            <w:tcW w:w="992" w:type="dxa"/>
          </w:tcPr>
          <w:p w14:paraId="127CBFAC"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Percent</w:t>
            </w:r>
          </w:p>
        </w:tc>
        <w:tc>
          <w:tcPr>
            <w:tcW w:w="1276" w:type="dxa"/>
          </w:tcPr>
          <w:p w14:paraId="56D1DA90"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Sex</w:t>
            </w:r>
          </w:p>
          <w:p w14:paraId="0AC1AFA7"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437C438E"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3A1EB5E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Level of Education</w:t>
            </w:r>
          </w:p>
        </w:tc>
        <w:tc>
          <w:tcPr>
            <w:tcW w:w="4308" w:type="dxa"/>
          </w:tcPr>
          <w:p w14:paraId="4735C1BA"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number of pupils (or students) enrolled in private educational institutions in a given level of education by total enrolment (public and private) at the same level of education, and multiply the result by 100. This indicator has dimension values of sex, locality and level of education.</w:t>
            </w:r>
          </w:p>
        </w:tc>
      </w:tr>
      <w:tr w:rsidR="00212707" w:rsidRPr="001766D9" w14:paraId="2D3EF48F" w14:textId="77777777" w:rsidTr="00B4296D">
        <w:trPr>
          <w:cantSplit/>
        </w:trPr>
        <w:tc>
          <w:tcPr>
            <w:tcW w:w="534" w:type="dxa"/>
          </w:tcPr>
          <w:p w14:paraId="1B0F7754" w14:textId="027E32EC" w:rsidR="000C50CD" w:rsidRPr="001766D9" w:rsidRDefault="00361A07" w:rsidP="003363E4">
            <w:pPr>
              <w:jc w:val="left"/>
              <w:rPr>
                <w:rFonts w:asciiTheme="majorHAnsi" w:hAnsiTheme="majorHAnsi" w:cs="Times New Roman"/>
                <w:szCs w:val="22"/>
              </w:rPr>
            </w:pPr>
            <w:r>
              <w:rPr>
                <w:rFonts w:asciiTheme="majorHAnsi" w:hAnsiTheme="majorHAnsi" w:cs="Times New Roman"/>
                <w:szCs w:val="22"/>
              </w:rPr>
              <w:t>19</w:t>
            </w:r>
          </w:p>
        </w:tc>
        <w:tc>
          <w:tcPr>
            <w:tcW w:w="1417" w:type="dxa"/>
          </w:tcPr>
          <w:p w14:paraId="3B619A1F"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Pupil Textbook Ratio</w:t>
            </w:r>
          </w:p>
        </w:tc>
        <w:tc>
          <w:tcPr>
            <w:tcW w:w="709" w:type="dxa"/>
          </w:tcPr>
          <w:p w14:paraId="2A62717A"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PBR</w:t>
            </w:r>
          </w:p>
        </w:tc>
        <w:tc>
          <w:tcPr>
            <w:tcW w:w="992" w:type="dxa"/>
          </w:tcPr>
          <w:p w14:paraId="1DA82379"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Ratio</w:t>
            </w:r>
          </w:p>
        </w:tc>
        <w:tc>
          <w:tcPr>
            <w:tcW w:w="1276" w:type="dxa"/>
          </w:tcPr>
          <w:p w14:paraId="6F368B5E"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1A8D7DAD"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17984FC6" w14:textId="47806CF5" w:rsidR="000C50CD"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tc>
        <w:tc>
          <w:tcPr>
            <w:tcW w:w="4308" w:type="dxa"/>
          </w:tcPr>
          <w:p w14:paraId="4939109B" w14:textId="77777777" w:rsidR="000C50CD" w:rsidRPr="001766D9" w:rsidRDefault="000C50CD" w:rsidP="003363E4">
            <w:pPr>
              <w:widowControl w:val="0"/>
              <w:autoSpaceDE w:val="0"/>
              <w:autoSpaceDN w:val="0"/>
              <w:adjustRightInd w:val="0"/>
              <w:jc w:val="left"/>
              <w:rPr>
                <w:rFonts w:asciiTheme="majorHAnsi" w:hAnsiTheme="majorHAnsi" w:cs="Times New Roman"/>
                <w:szCs w:val="22"/>
              </w:rPr>
            </w:pPr>
            <w:r w:rsidRPr="001766D9">
              <w:rPr>
                <w:rFonts w:asciiTheme="majorHAnsi" w:hAnsiTheme="majorHAnsi" w:cs="Times New Roman"/>
                <w:szCs w:val="22"/>
              </w:rPr>
              <w:t>Divide the total number of pupils enrolled at the specified level of education by the number of textbooks at the same level. This indicator has dimension values of locality, and sector.</w:t>
            </w:r>
          </w:p>
        </w:tc>
      </w:tr>
      <w:tr w:rsidR="00212707" w:rsidRPr="001766D9" w14:paraId="401D9B9D" w14:textId="77777777" w:rsidTr="00B4296D">
        <w:trPr>
          <w:cantSplit/>
        </w:trPr>
        <w:tc>
          <w:tcPr>
            <w:tcW w:w="534" w:type="dxa"/>
          </w:tcPr>
          <w:p w14:paraId="6338DB27" w14:textId="090B1B15"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2</w:t>
            </w:r>
            <w:r w:rsidR="00361A07">
              <w:rPr>
                <w:rFonts w:asciiTheme="majorHAnsi" w:hAnsiTheme="majorHAnsi" w:cs="Times New Roman"/>
                <w:szCs w:val="22"/>
              </w:rPr>
              <w:t>0</w:t>
            </w:r>
          </w:p>
        </w:tc>
        <w:tc>
          <w:tcPr>
            <w:tcW w:w="1417" w:type="dxa"/>
          </w:tcPr>
          <w:p w14:paraId="173C52C5" w14:textId="115128E1" w:rsidR="000C50CD" w:rsidRPr="001766D9" w:rsidRDefault="00361A07" w:rsidP="003363E4">
            <w:pPr>
              <w:jc w:val="left"/>
              <w:rPr>
                <w:rFonts w:asciiTheme="majorHAnsi" w:hAnsiTheme="majorHAnsi"/>
                <w:szCs w:val="22"/>
              </w:rPr>
            </w:pPr>
            <w:r>
              <w:rPr>
                <w:rFonts w:asciiTheme="majorHAnsi" w:hAnsiTheme="majorHAnsi"/>
                <w:szCs w:val="22"/>
              </w:rPr>
              <w:t xml:space="preserve">Number of </w:t>
            </w:r>
            <w:r w:rsidR="000C50CD" w:rsidRPr="001766D9">
              <w:rPr>
                <w:rFonts w:asciiTheme="majorHAnsi" w:hAnsiTheme="majorHAnsi" w:cs="Times New Roman"/>
                <w:szCs w:val="22"/>
              </w:rPr>
              <w:t>Water Sources</w:t>
            </w:r>
          </w:p>
        </w:tc>
        <w:tc>
          <w:tcPr>
            <w:tcW w:w="709" w:type="dxa"/>
          </w:tcPr>
          <w:p w14:paraId="003FFCC1" w14:textId="32510303" w:rsidR="000C50CD" w:rsidRPr="001766D9" w:rsidRDefault="000C50CD" w:rsidP="003363E4">
            <w:pPr>
              <w:jc w:val="left"/>
              <w:rPr>
                <w:rFonts w:asciiTheme="majorHAnsi" w:hAnsiTheme="majorHAnsi"/>
                <w:szCs w:val="22"/>
              </w:rPr>
            </w:pPr>
          </w:p>
        </w:tc>
        <w:tc>
          <w:tcPr>
            <w:tcW w:w="992" w:type="dxa"/>
          </w:tcPr>
          <w:p w14:paraId="31D01988"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w:t>
            </w:r>
          </w:p>
        </w:tc>
        <w:tc>
          <w:tcPr>
            <w:tcW w:w="1276" w:type="dxa"/>
          </w:tcPr>
          <w:p w14:paraId="24E0E02D"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6204EAC6"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71AF9242"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6A96510D"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Condition</w:t>
            </w:r>
          </w:p>
        </w:tc>
        <w:tc>
          <w:tcPr>
            <w:tcW w:w="4308" w:type="dxa"/>
          </w:tcPr>
          <w:p w14:paraId="23B05E47"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Number of water sources by type. This indicator has dimension values of locality, sector and condition.</w:t>
            </w:r>
          </w:p>
        </w:tc>
      </w:tr>
      <w:tr w:rsidR="00212707" w:rsidRPr="001766D9" w14:paraId="1EB6A2F8" w14:textId="77777777" w:rsidTr="00B4296D">
        <w:trPr>
          <w:cantSplit/>
        </w:trPr>
        <w:tc>
          <w:tcPr>
            <w:tcW w:w="534" w:type="dxa"/>
          </w:tcPr>
          <w:p w14:paraId="4AE7BD5C" w14:textId="3E78C568"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2</w:t>
            </w:r>
            <w:r w:rsidR="00361A07">
              <w:rPr>
                <w:rFonts w:asciiTheme="majorHAnsi" w:hAnsiTheme="majorHAnsi" w:cs="Times New Roman"/>
                <w:szCs w:val="22"/>
              </w:rPr>
              <w:t>1</w:t>
            </w:r>
          </w:p>
        </w:tc>
        <w:tc>
          <w:tcPr>
            <w:tcW w:w="1417" w:type="dxa"/>
          </w:tcPr>
          <w:p w14:paraId="37585EC5" w14:textId="425350D7" w:rsidR="000C50CD" w:rsidRPr="001766D9" w:rsidRDefault="00361A07" w:rsidP="003363E4">
            <w:pPr>
              <w:jc w:val="left"/>
              <w:rPr>
                <w:rFonts w:asciiTheme="majorHAnsi" w:hAnsiTheme="majorHAnsi"/>
                <w:szCs w:val="22"/>
              </w:rPr>
            </w:pPr>
            <w:r>
              <w:rPr>
                <w:rFonts w:asciiTheme="majorHAnsi" w:hAnsiTheme="majorHAnsi"/>
                <w:szCs w:val="22"/>
              </w:rPr>
              <w:t xml:space="preserve">Number of </w:t>
            </w:r>
            <w:r w:rsidR="000C50CD" w:rsidRPr="001766D9">
              <w:rPr>
                <w:rFonts w:asciiTheme="majorHAnsi" w:hAnsiTheme="majorHAnsi" w:cs="Times New Roman"/>
                <w:szCs w:val="22"/>
              </w:rPr>
              <w:t>Sanitation Facilities</w:t>
            </w:r>
          </w:p>
        </w:tc>
        <w:tc>
          <w:tcPr>
            <w:tcW w:w="709" w:type="dxa"/>
          </w:tcPr>
          <w:p w14:paraId="54387811" w14:textId="754440C0" w:rsidR="000C50CD" w:rsidRPr="001766D9" w:rsidRDefault="000C50CD" w:rsidP="003363E4">
            <w:pPr>
              <w:jc w:val="left"/>
              <w:rPr>
                <w:rFonts w:asciiTheme="majorHAnsi" w:hAnsiTheme="majorHAnsi"/>
                <w:szCs w:val="22"/>
              </w:rPr>
            </w:pPr>
          </w:p>
        </w:tc>
        <w:tc>
          <w:tcPr>
            <w:tcW w:w="992" w:type="dxa"/>
          </w:tcPr>
          <w:p w14:paraId="15630F7A" w14:textId="77777777" w:rsidR="000C50CD" w:rsidRPr="001766D9" w:rsidRDefault="000C50CD" w:rsidP="003363E4">
            <w:pPr>
              <w:jc w:val="left"/>
              <w:rPr>
                <w:rFonts w:asciiTheme="majorHAnsi" w:hAnsiTheme="majorHAnsi"/>
                <w:szCs w:val="22"/>
              </w:rPr>
            </w:pPr>
            <w:r w:rsidRPr="001766D9">
              <w:rPr>
                <w:rFonts w:asciiTheme="majorHAnsi" w:hAnsiTheme="majorHAnsi"/>
                <w:szCs w:val="22"/>
              </w:rPr>
              <w:t>Number</w:t>
            </w:r>
          </w:p>
        </w:tc>
        <w:tc>
          <w:tcPr>
            <w:tcW w:w="1276" w:type="dxa"/>
          </w:tcPr>
          <w:p w14:paraId="778AD021"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Area</w:t>
            </w:r>
          </w:p>
          <w:p w14:paraId="235F8065" w14:textId="77777777" w:rsidR="00405397" w:rsidRPr="001766D9" w:rsidRDefault="00405397" w:rsidP="003363E4">
            <w:pPr>
              <w:widowControl w:val="0"/>
              <w:autoSpaceDE w:val="0"/>
              <w:autoSpaceDN w:val="0"/>
              <w:adjustRightInd w:val="0"/>
              <w:jc w:val="left"/>
              <w:rPr>
                <w:rFonts w:asciiTheme="majorHAnsi" w:hAnsiTheme="majorHAnsi" w:cs="Times New Roman"/>
                <w:szCs w:val="22"/>
              </w:rPr>
            </w:pPr>
            <w:r>
              <w:rPr>
                <w:rFonts w:asciiTheme="majorHAnsi" w:hAnsiTheme="majorHAnsi" w:cs="Times New Roman"/>
                <w:szCs w:val="22"/>
              </w:rPr>
              <w:t>Locality</w:t>
            </w:r>
          </w:p>
          <w:p w14:paraId="21CD66A7" w14:textId="77777777" w:rsidR="00405397" w:rsidRPr="001766D9" w:rsidRDefault="00405397" w:rsidP="003363E4">
            <w:pPr>
              <w:jc w:val="left"/>
              <w:rPr>
                <w:rFonts w:asciiTheme="majorHAnsi" w:hAnsiTheme="majorHAnsi" w:cs="Times New Roman"/>
                <w:szCs w:val="22"/>
              </w:rPr>
            </w:pPr>
            <w:r>
              <w:rPr>
                <w:rFonts w:asciiTheme="majorHAnsi" w:hAnsiTheme="majorHAnsi" w:cs="Times New Roman"/>
                <w:szCs w:val="22"/>
              </w:rPr>
              <w:t>Sector</w:t>
            </w:r>
          </w:p>
          <w:p w14:paraId="153D50F1"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Condition</w:t>
            </w:r>
          </w:p>
          <w:p w14:paraId="6C56F3E8" w14:textId="77777777" w:rsidR="000C50CD" w:rsidRPr="001766D9" w:rsidRDefault="000C50CD" w:rsidP="003363E4">
            <w:pPr>
              <w:jc w:val="left"/>
              <w:rPr>
                <w:rFonts w:asciiTheme="majorHAnsi" w:hAnsiTheme="majorHAnsi" w:cs="Times New Roman"/>
                <w:szCs w:val="22"/>
              </w:rPr>
            </w:pPr>
            <w:r w:rsidRPr="001766D9">
              <w:rPr>
                <w:rFonts w:asciiTheme="majorHAnsi" w:hAnsiTheme="majorHAnsi" w:cs="Times New Roman"/>
                <w:szCs w:val="22"/>
              </w:rPr>
              <w:t>Sex</w:t>
            </w:r>
          </w:p>
        </w:tc>
        <w:tc>
          <w:tcPr>
            <w:tcW w:w="4308" w:type="dxa"/>
          </w:tcPr>
          <w:p w14:paraId="5ED7FAA0" w14:textId="77777777" w:rsidR="000C50CD" w:rsidRPr="001766D9" w:rsidRDefault="000C50CD" w:rsidP="003363E4">
            <w:pPr>
              <w:jc w:val="left"/>
              <w:rPr>
                <w:rFonts w:asciiTheme="majorHAnsi" w:hAnsiTheme="majorHAnsi"/>
                <w:szCs w:val="22"/>
              </w:rPr>
            </w:pPr>
            <w:r w:rsidRPr="001766D9">
              <w:rPr>
                <w:rFonts w:asciiTheme="majorHAnsi" w:hAnsiTheme="majorHAnsi" w:cs="Times New Roman"/>
                <w:szCs w:val="22"/>
              </w:rPr>
              <w:t>Number of sanitation facilities by type. This indicator has dimension values of locality, sector and condition.</w:t>
            </w:r>
          </w:p>
        </w:tc>
      </w:tr>
    </w:tbl>
    <w:p w14:paraId="1D6E26AA" w14:textId="77777777" w:rsidR="002C21B0" w:rsidRDefault="002C21B0" w:rsidP="002C21B0">
      <w:pPr>
        <w:rPr>
          <w:szCs w:val="22"/>
        </w:rPr>
      </w:pPr>
    </w:p>
    <w:p w14:paraId="37C6D96C" w14:textId="4B4B429B" w:rsidR="005516DE" w:rsidRPr="005516DE" w:rsidRDefault="00212707" w:rsidP="005516DE">
      <w:pPr>
        <w:widowControl w:val="0"/>
        <w:autoSpaceDE w:val="0"/>
        <w:autoSpaceDN w:val="0"/>
        <w:adjustRightInd w:val="0"/>
        <w:rPr>
          <w:rFonts w:asciiTheme="majorHAnsi" w:hAnsiTheme="majorHAnsi" w:cs="Times New Roman"/>
          <w:szCs w:val="22"/>
        </w:rPr>
      </w:pPr>
      <w:r>
        <w:rPr>
          <w:szCs w:val="22"/>
        </w:rPr>
        <w:t xml:space="preserve">Note: Subgroup values are </w:t>
      </w:r>
      <w:r w:rsidR="005516DE">
        <w:rPr>
          <w:rFonts w:asciiTheme="majorHAnsi" w:hAnsiTheme="majorHAnsi" w:cs="Times New Roman"/>
          <w:szCs w:val="22"/>
        </w:rPr>
        <w:t>s</w:t>
      </w:r>
      <w:r w:rsidRPr="001766D9">
        <w:rPr>
          <w:rFonts w:asciiTheme="majorHAnsi" w:hAnsiTheme="majorHAnsi" w:cs="Times New Roman"/>
          <w:szCs w:val="22"/>
        </w:rPr>
        <w:t>ex</w:t>
      </w:r>
      <w:r>
        <w:rPr>
          <w:rFonts w:asciiTheme="majorHAnsi" w:hAnsiTheme="majorHAnsi" w:cs="Times New Roman"/>
          <w:szCs w:val="22"/>
        </w:rPr>
        <w:t xml:space="preserve"> (male/female), </w:t>
      </w:r>
      <w:r w:rsidR="005516DE">
        <w:rPr>
          <w:rFonts w:asciiTheme="majorHAnsi" w:hAnsiTheme="majorHAnsi" w:cs="Times New Roman"/>
          <w:szCs w:val="22"/>
        </w:rPr>
        <w:t>locality</w:t>
      </w:r>
      <w:r>
        <w:rPr>
          <w:rFonts w:asciiTheme="majorHAnsi" w:hAnsiTheme="majorHAnsi" w:cs="Times New Roman"/>
          <w:szCs w:val="22"/>
        </w:rPr>
        <w:t xml:space="preserve"> (</w:t>
      </w:r>
      <w:r w:rsidR="005516DE">
        <w:rPr>
          <w:rFonts w:asciiTheme="majorHAnsi" w:hAnsiTheme="majorHAnsi" w:cs="Times New Roman"/>
          <w:szCs w:val="22"/>
        </w:rPr>
        <w:t>u</w:t>
      </w:r>
      <w:r w:rsidRPr="001766D9">
        <w:rPr>
          <w:rFonts w:asciiTheme="majorHAnsi" w:hAnsiTheme="majorHAnsi" w:cs="Times New Roman"/>
          <w:szCs w:val="22"/>
        </w:rPr>
        <w:t>rban/</w:t>
      </w:r>
      <w:r w:rsidR="005516DE">
        <w:rPr>
          <w:rFonts w:asciiTheme="majorHAnsi" w:hAnsiTheme="majorHAnsi" w:cs="Times New Roman"/>
          <w:szCs w:val="22"/>
        </w:rPr>
        <w:t>r</w:t>
      </w:r>
      <w:r w:rsidRPr="001766D9">
        <w:rPr>
          <w:rFonts w:asciiTheme="majorHAnsi" w:hAnsiTheme="majorHAnsi" w:cs="Times New Roman"/>
          <w:szCs w:val="22"/>
        </w:rPr>
        <w:t>ural</w:t>
      </w:r>
      <w:r>
        <w:rPr>
          <w:rFonts w:asciiTheme="majorHAnsi" w:hAnsiTheme="majorHAnsi" w:cs="Times New Roman"/>
          <w:szCs w:val="22"/>
        </w:rPr>
        <w:t>)</w:t>
      </w:r>
      <w:r w:rsidR="005516DE">
        <w:rPr>
          <w:rFonts w:asciiTheme="majorHAnsi" w:hAnsiTheme="majorHAnsi" w:cs="Times New Roman"/>
          <w:szCs w:val="22"/>
        </w:rPr>
        <w:t xml:space="preserve">, </w:t>
      </w:r>
      <w:r w:rsidR="006D6D77">
        <w:rPr>
          <w:rFonts w:asciiTheme="majorHAnsi" w:hAnsiTheme="majorHAnsi" w:cs="Times New Roman"/>
          <w:szCs w:val="22"/>
        </w:rPr>
        <w:t xml:space="preserve">and </w:t>
      </w:r>
      <w:r w:rsidR="005516DE">
        <w:rPr>
          <w:rFonts w:asciiTheme="majorHAnsi" w:hAnsiTheme="majorHAnsi"/>
          <w:szCs w:val="22"/>
        </w:rPr>
        <w:t>sector (public/private)</w:t>
      </w:r>
    </w:p>
    <w:sectPr w:rsidR="005516DE" w:rsidRPr="005516DE" w:rsidSect="00AC5DCB">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B377" w14:textId="77777777" w:rsidR="006E577F" w:rsidRDefault="006E577F" w:rsidP="00AF303C">
      <w:r>
        <w:separator/>
      </w:r>
    </w:p>
  </w:endnote>
  <w:endnote w:type="continuationSeparator" w:id="0">
    <w:p w14:paraId="724AF620" w14:textId="77777777" w:rsidR="006E577F" w:rsidRDefault="006E577F"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27BA0890" w14:textId="77777777" w:rsidTr="001F5D31">
      <w:trPr>
        <w:trHeight w:val="168"/>
      </w:trPr>
      <w:tc>
        <w:tcPr>
          <w:tcW w:w="3060" w:type="dxa"/>
        </w:tcPr>
        <w:p w14:paraId="74A00CC5" w14:textId="77777777"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AC6B15">
            <w:rPr>
              <w:rFonts w:asciiTheme="majorHAnsi" w:hAnsiTheme="majorHAnsi" w:cs="Times New Roman"/>
              <w:noProof/>
              <w:sz w:val="16"/>
              <w:szCs w:val="16"/>
            </w:rPr>
            <w:t>OpenEMIS_EFA_Indicators_en.docx</w:t>
          </w:r>
          <w:r w:rsidRPr="00B92DCF">
            <w:rPr>
              <w:rFonts w:asciiTheme="majorHAnsi" w:hAnsiTheme="majorHAnsi" w:cs="Times New Roman"/>
              <w:sz w:val="16"/>
              <w:szCs w:val="16"/>
            </w:rPr>
            <w:fldChar w:fldCharType="end"/>
          </w:r>
        </w:p>
      </w:tc>
      <w:tc>
        <w:tcPr>
          <w:tcW w:w="3060" w:type="dxa"/>
        </w:tcPr>
        <w:p w14:paraId="3B16D8DA"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AC6B15">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AC6B15">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68A03A0" w14:textId="0779EA75"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9B3E3C">
            <w:rPr>
              <w:rFonts w:asciiTheme="majorHAnsi" w:hAnsiTheme="majorHAnsi"/>
              <w:sz w:val="16"/>
              <w:szCs w:val="16"/>
            </w:rPr>
            <w:t>80313</w:t>
          </w:r>
        </w:p>
      </w:tc>
    </w:tr>
  </w:tbl>
  <w:p w14:paraId="26E74478" w14:textId="77777777" w:rsidR="00C75FBD" w:rsidRPr="00B92DCF" w:rsidRDefault="00C75FBD" w:rsidP="008D6064">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7F45" w14:textId="77777777" w:rsidR="006E577F" w:rsidRDefault="006E577F" w:rsidP="00AF303C">
      <w:r>
        <w:separator/>
      </w:r>
    </w:p>
  </w:footnote>
  <w:footnote w:type="continuationSeparator" w:id="0">
    <w:p w14:paraId="377A715F" w14:textId="77777777" w:rsidR="006E577F" w:rsidRDefault="006E577F"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039EF" w14:paraId="27720D42" w14:textId="77777777" w:rsidTr="008B49CB">
      <w:tc>
        <w:tcPr>
          <w:tcW w:w="6345" w:type="dxa"/>
          <w:vAlign w:val="center"/>
        </w:tcPr>
        <w:p w14:paraId="481A207B" w14:textId="77777777" w:rsidR="006039EF" w:rsidRDefault="006039EF" w:rsidP="008B49CB">
          <w:pPr>
            <w:pStyle w:val="Header"/>
          </w:pPr>
          <w:r>
            <w:rPr>
              <w:noProof/>
              <w:lang w:val="en-GB" w:eastAsia="en-GB"/>
            </w:rPr>
            <w:drawing>
              <wp:inline distT="0" distB="0" distL="0" distR="0" wp14:anchorId="1FCB7283" wp14:editId="4FDF25BD">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D5CE65A" w14:textId="77777777" w:rsidR="006039EF" w:rsidRDefault="006039EF" w:rsidP="008B49CB">
          <w:pPr>
            <w:pStyle w:val="Header"/>
            <w:jc w:val="right"/>
          </w:pPr>
          <w:r w:rsidRPr="000E793D">
            <w:rPr>
              <w:noProof/>
              <w:lang w:val="en-GB" w:eastAsia="en-GB"/>
            </w:rPr>
            <w:drawing>
              <wp:inline distT="0" distB="0" distL="0" distR="0" wp14:anchorId="7C07AD30" wp14:editId="4D8BFD9A">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5FFDD21A" w14:textId="77777777" w:rsidR="006039EF" w:rsidRPr="000E793D" w:rsidRDefault="006039EF" w:rsidP="008B49CB">
          <w:pPr>
            <w:pStyle w:val="Header"/>
            <w:jc w:val="right"/>
          </w:pPr>
          <w:r>
            <w:rPr>
              <w:noProof/>
              <w:lang w:val="en-GB" w:eastAsia="en-GB"/>
            </w:rPr>
            <w:drawing>
              <wp:inline distT="0" distB="0" distL="0" distR="0" wp14:anchorId="0E8CDDD5" wp14:editId="4D26E289">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D736056" w14:textId="77777777" w:rsidR="00C75FBD" w:rsidRDefault="00C7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1B0"/>
    <w:rsid w:val="00024B7A"/>
    <w:rsid w:val="000C50CD"/>
    <w:rsid w:val="000D3C03"/>
    <w:rsid w:val="000E7845"/>
    <w:rsid w:val="00122D3F"/>
    <w:rsid w:val="001313EC"/>
    <w:rsid w:val="001703CF"/>
    <w:rsid w:val="001A4C12"/>
    <w:rsid w:val="001B0EE8"/>
    <w:rsid w:val="001F5D31"/>
    <w:rsid w:val="00210FEE"/>
    <w:rsid w:val="00212707"/>
    <w:rsid w:val="002170DC"/>
    <w:rsid w:val="00217F2E"/>
    <w:rsid w:val="0023785B"/>
    <w:rsid w:val="002C21B0"/>
    <w:rsid w:val="002D054D"/>
    <w:rsid w:val="003363E4"/>
    <w:rsid w:val="00361A07"/>
    <w:rsid w:val="003B1220"/>
    <w:rsid w:val="00405397"/>
    <w:rsid w:val="004406BB"/>
    <w:rsid w:val="00490131"/>
    <w:rsid w:val="00493DB0"/>
    <w:rsid w:val="004960C0"/>
    <w:rsid w:val="00522B16"/>
    <w:rsid w:val="005516DE"/>
    <w:rsid w:val="00586545"/>
    <w:rsid w:val="005A091F"/>
    <w:rsid w:val="005B7AC3"/>
    <w:rsid w:val="005C6736"/>
    <w:rsid w:val="005F1FDE"/>
    <w:rsid w:val="006039EF"/>
    <w:rsid w:val="00607925"/>
    <w:rsid w:val="0065056B"/>
    <w:rsid w:val="0067381C"/>
    <w:rsid w:val="00691C9E"/>
    <w:rsid w:val="006C19F9"/>
    <w:rsid w:val="006D6D77"/>
    <w:rsid w:val="006E577F"/>
    <w:rsid w:val="00742496"/>
    <w:rsid w:val="007A1D82"/>
    <w:rsid w:val="007C55EC"/>
    <w:rsid w:val="00807F10"/>
    <w:rsid w:val="0086499F"/>
    <w:rsid w:val="00881F62"/>
    <w:rsid w:val="008C07F0"/>
    <w:rsid w:val="008D6064"/>
    <w:rsid w:val="008D61C9"/>
    <w:rsid w:val="00971146"/>
    <w:rsid w:val="00973ED2"/>
    <w:rsid w:val="009B3675"/>
    <w:rsid w:val="009B38B4"/>
    <w:rsid w:val="009B3E3C"/>
    <w:rsid w:val="009D423F"/>
    <w:rsid w:val="009D61B2"/>
    <w:rsid w:val="00A076AF"/>
    <w:rsid w:val="00A3171F"/>
    <w:rsid w:val="00A50689"/>
    <w:rsid w:val="00A9573B"/>
    <w:rsid w:val="00AC5DCB"/>
    <w:rsid w:val="00AC6B15"/>
    <w:rsid w:val="00AC773B"/>
    <w:rsid w:val="00AD2BF7"/>
    <w:rsid w:val="00AD48D8"/>
    <w:rsid w:val="00AE2462"/>
    <w:rsid w:val="00AF303C"/>
    <w:rsid w:val="00B20B64"/>
    <w:rsid w:val="00B371BF"/>
    <w:rsid w:val="00B4296D"/>
    <w:rsid w:val="00B621E5"/>
    <w:rsid w:val="00B74869"/>
    <w:rsid w:val="00B8106C"/>
    <w:rsid w:val="00B92DCF"/>
    <w:rsid w:val="00BD758A"/>
    <w:rsid w:val="00C75FBD"/>
    <w:rsid w:val="00CB0321"/>
    <w:rsid w:val="00CB687B"/>
    <w:rsid w:val="00CE7CAC"/>
    <w:rsid w:val="00D020A0"/>
    <w:rsid w:val="00D03E12"/>
    <w:rsid w:val="00D335C3"/>
    <w:rsid w:val="00D84675"/>
    <w:rsid w:val="00E108B3"/>
    <w:rsid w:val="00E77CBC"/>
    <w:rsid w:val="00EA6D2D"/>
    <w:rsid w:val="00F07D06"/>
    <w:rsid w:val="00F61B10"/>
    <w:rsid w:val="00F73064"/>
    <w:rsid w:val="00FE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6AE8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lturnbull:Downloads:OpenEMIS_Template_e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Macintosh%20HD:Users:karlturnbull:Downloads:OpenEMIS_Template_en-2.dotx</Template>
  <TotalTime>36</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34</cp:revision>
  <cp:lastPrinted>2017-05-31T02:01:00Z</cp:lastPrinted>
  <dcterms:created xsi:type="dcterms:W3CDTF">2016-12-21T02:08:00Z</dcterms:created>
  <dcterms:modified xsi:type="dcterms:W3CDTF">2018-03-14T06:43:00Z</dcterms:modified>
</cp:coreProperties>
</file>