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FC92" w14:textId="151562B0" w:rsidR="00973ED2" w:rsidRPr="0067381C" w:rsidRDefault="009D423F" w:rsidP="00B92DCF">
      <w:pPr>
        <w:jc w:val="center"/>
        <w:rPr>
          <w:b/>
          <w:szCs w:val="22"/>
        </w:rPr>
      </w:pPr>
      <w:bookmarkStart w:id="0" w:name="_GoBack"/>
      <w:bookmarkEnd w:id="0"/>
      <w:r>
        <w:rPr>
          <w:b/>
          <w:szCs w:val="22"/>
        </w:rPr>
        <w:t>OpenEMIS</w:t>
      </w:r>
      <w:r w:rsidR="00122D3F">
        <w:rPr>
          <w:b/>
          <w:szCs w:val="22"/>
        </w:rPr>
        <w:t xml:space="preserve"> </w:t>
      </w:r>
      <w:r w:rsidR="00330AEF">
        <w:rPr>
          <w:b/>
          <w:szCs w:val="22"/>
        </w:rPr>
        <w:t>MDG</w:t>
      </w:r>
      <w:r w:rsidR="001A4C12">
        <w:rPr>
          <w:b/>
          <w:szCs w:val="22"/>
        </w:rPr>
        <w:t xml:space="preserve"> </w:t>
      </w:r>
      <w:r w:rsidR="00122D3F">
        <w:rPr>
          <w:b/>
          <w:szCs w:val="22"/>
        </w:rPr>
        <w:t>Indicators</w:t>
      </w:r>
    </w:p>
    <w:p w14:paraId="39943186" w14:textId="77777777" w:rsidR="00B92DCF" w:rsidRPr="0067381C" w:rsidRDefault="00B92DCF">
      <w:pPr>
        <w:rPr>
          <w:szCs w:val="22"/>
        </w:rPr>
      </w:pPr>
    </w:p>
    <w:p w14:paraId="053CBC46" w14:textId="77777777" w:rsidR="00E108B3" w:rsidRDefault="00E108B3" w:rsidP="002C21B0">
      <w:pPr>
        <w:rPr>
          <w:szCs w:val="22"/>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
        <w:gridCol w:w="1417"/>
        <w:gridCol w:w="709"/>
        <w:gridCol w:w="992"/>
        <w:gridCol w:w="1276"/>
        <w:gridCol w:w="4308"/>
      </w:tblGrid>
      <w:tr w:rsidR="00191DDB" w:rsidRPr="001766D9" w14:paraId="4BA35C08" w14:textId="77777777" w:rsidTr="00B81A8A">
        <w:trPr>
          <w:cantSplit/>
          <w:tblHeader/>
        </w:trPr>
        <w:tc>
          <w:tcPr>
            <w:tcW w:w="9236" w:type="dxa"/>
            <w:gridSpan w:val="6"/>
            <w:shd w:val="clear" w:color="auto" w:fill="0077D4"/>
          </w:tcPr>
          <w:p w14:paraId="1E234F3B" w14:textId="19F9A606" w:rsidR="00191DDB" w:rsidRPr="000C59B7" w:rsidRDefault="000C59B7" w:rsidP="00763C32">
            <w:pPr>
              <w:jc w:val="left"/>
              <w:rPr>
                <w:rFonts w:asciiTheme="majorHAnsi" w:hAnsiTheme="majorHAnsi"/>
                <w:b/>
                <w:bCs/>
                <w:color w:val="FFFFFF" w:themeColor="background1"/>
                <w:szCs w:val="22"/>
                <w:lang w:val="en-GB"/>
              </w:rPr>
            </w:pPr>
            <w:r w:rsidRPr="000C59B7">
              <w:rPr>
                <w:rFonts w:asciiTheme="majorHAnsi" w:hAnsiTheme="majorHAnsi"/>
                <w:b/>
                <w:bCs/>
                <w:color w:val="FFFFFF" w:themeColor="background1"/>
                <w:szCs w:val="22"/>
                <w:lang w:val="en-GB"/>
              </w:rPr>
              <w:t>Goal 2: Achieve universal primary education</w:t>
            </w:r>
          </w:p>
        </w:tc>
      </w:tr>
      <w:tr w:rsidR="00191DDB" w:rsidRPr="001766D9" w14:paraId="5C6D9FFE" w14:textId="77777777" w:rsidTr="00B81A8A">
        <w:trPr>
          <w:cantSplit/>
          <w:tblHeader/>
        </w:trPr>
        <w:tc>
          <w:tcPr>
            <w:tcW w:w="9236" w:type="dxa"/>
            <w:gridSpan w:val="6"/>
            <w:shd w:val="clear" w:color="auto" w:fill="0077D4"/>
          </w:tcPr>
          <w:p w14:paraId="6996E21F" w14:textId="7D8B9BD1" w:rsidR="00191DDB" w:rsidRPr="000C59B7" w:rsidRDefault="000C59B7" w:rsidP="00763C32">
            <w:pPr>
              <w:jc w:val="left"/>
              <w:rPr>
                <w:rFonts w:asciiTheme="majorHAnsi" w:hAnsiTheme="majorHAnsi"/>
                <w:b/>
                <w:color w:val="FFFFFF" w:themeColor="background1"/>
                <w:szCs w:val="22"/>
                <w:lang w:val="en-GB"/>
              </w:rPr>
            </w:pPr>
            <w:r w:rsidRPr="000C59B7">
              <w:rPr>
                <w:rFonts w:asciiTheme="majorHAnsi" w:hAnsiTheme="majorHAnsi"/>
                <w:b/>
                <w:bCs/>
                <w:color w:val="FFFFFF" w:themeColor="background1"/>
                <w:szCs w:val="22"/>
                <w:lang w:val="en-GB"/>
              </w:rPr>
              <w:t>Target 2.A</w:t>
            </w:r>
            <w:r w:rsidRPr="000C59B7">
              <w:rPr>
                <w:rFonts w:asciiTheme="majorHAnsi" w:hAnsiTheme="majorHAnsi"/>
                <w:b/>
                <w:color w:val="FFFFFF" w:themeColor="background1"/>
                <w:szCs w:val="22"/>
                <w:lang w:val="en-GB"/>
              </w:rPr>
              <w:t>: Ensure that, by 2015, children everywhere, boys and girls alike, will be able to complete a full course of primary schooling</w:t>
            </w:r>
          </w:p>
        </w:tc>
      </w:tr>
      <w:tr w:rsidR="00212707" w:rsidRPr="001766D9" w14:paraId="03E65B8D" w14:textId="77777777" w:rsidTr="00B81A8A">
        <w:trPr>
          <w:cantSplit/>
          <w:tblHeader/>
        </w:trPr>
        <w:tc>
          <w:tcPr>
            <w:tcW w:w="534" w:type="dxa"/>
            <w:shd w:val="clear" w:color="auto" w:fill="0077D4"/>
          </w:tcPr>
          <w:p w14:paraId="060F6DB3" w14:textId="6E1933B3" w:rsidR="000C50CD" w:rsidRPr="001766D9" w:rsidRDefault="00A3171F" w:rsidP="003363E4">
            <w:pPr>
              <w:jc w:val="left"/>
              <w:rPr>
                <w:rFonts w:asciiTheme="majorHAnsi" w:hAnsiTheme="majorHAnsi"/>
                <w:b/>
                <w:color w:val="FFFFFF" w:themeColor="background1"/>
                <w:szCs w:val="22"/>
              </w:rPr>
            </w:pPr>
            <w:r>
              <w:rPr>
                <w:rFonts w:asciiTheme="majorHAnsi" w:hAnsiTheme="majorHAnsi"/>
                <w:b/>
                <w:color w:val="FFFFFF" w:themeColor="background1"/>
                <w:szCs w:val="22"/>
              </w:rPr>
              <w:t>No</w:t>
            </w:r>
          </w:p>
        </w:tc>
        <w:tc>
          <w:tcPr>
            <w:tcW w:w="1417" w:type="dxa"/>
            <w:shd w:val="clear" w:color="auto" w:fill="0077D4"/>
          </w:tcPr>
          <w:p w14:paraId="18F01C35"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Indicator</w:t>
            </w:r>
          </w:p>
        </w:tc>
        <w:tc>
          <w:tcPr>
            <w:tcW w:w="709" w:type="dxa"/>
            <w:shd w:val="clear" w:color="auto" w:fill="0077D4"/>
          </w:tcPr>
          <w:p w14:paraId="4E76EF3A"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Code</w:t>
            </w:r>
          </w:p>
        </w:tc>
        <w:tc>
          <w:tcPr>
            <w:tcW w:w="992" w:type="dxa"/>
            <w:shd w:val="clear" w:color="auto" w:fill="0077D4"/>
          </w:tcPr>
          <w:p w14:paraId="43C452F8"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Unit</w:t>
            </w:r>
          </w:p>
        </w:tc>
        <w:tc>
          <w:tcPr>
            <w:tcW w:w="1276" w:type="dxa"/>
            <w:shd w:val="clear" w:color="auto" w:fill="0077D4"/>
          </w:tcPr>
          <w:p w14:paraId="5DAFD832" w14:textId="592048BE"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 xml:space="preserve">Subgroup </w:t>
            </w:r>
          </w:p>
        </w:tc>
        <w:tc>
          <w:tcPr>
            <w:tcW w:w="4308" w:type="dxa"/>
            <w:shd w:val="clear" w:color="auto" w:fill="0077D4"/>
          </w:tcPr>
          <w:p w14:paraId="3E05E9C7"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Metadata</w:t>
            </w:r>
          </w:p>
        </w:tc>
      </w:tr>
      <w:tr w:rsidR="00212707" w:rsidRPr="001766D9" w14:paraId="5E35AFB4" w14:textId="77777777" w:rsidTr="00B81A8A">
        <w:trPr>
          <w:cantSplit/>
        </w:trPr>
        <w:tc>
          <w:tcPr>
            <w:tcW w:w="534" w:type="dxa"/>
          </w:tcPr>
          <w:p w14:paraId="5B24FD98" w14:textId="2165BBAB" w:rsidR="000C50CD" w:rsidRPr="001766D9" w:rsidRDefault="006356EE" w:rsidP="003363E4">
            <w:pPr>
              <w:jc w:val="left"/>
              <w:rPr>
                <w:rFonts w:asciiTheme="majorHAnsi" w:hAnsiTheme="majorHAnsi"/>
                <w:szCs w:val="22"/>
              </w:rPr>
            </w:pPr>
            <w:r>
              <w:rPr>
                <w:rFonts w:asciiTheme="majorHAnsi" w:hAnsiTheme="majorHAnsi"/>
                <w:szCs w:val="22"/>
              </w:rPr>
              <w:t>2.1</w:t>
            </w:r>
          </w:p>
        </w:tc>
        <w:tc>
          <w:tcPr>
            <w:tcW w:w="1417" w:type="dxa"/>
          </w:tcPr>
          <w:p w14:paraId="3521A076" w14:textId="279A8EE9" w:rsidR="000C50CD" w:rsidRPr="006356EE" w:rsidRDefault="006356EE" w:rsidP="003363E4">
            <w:pPr>
              <w:jc w:val="left"/>
              <w:rPr>
                <w:rFonts w:asciiTheme="majorHAnsi" w:hAnsiTheme="majorHAnsi"/>
                <w:szCs w:val="22"/>
                <w:lang w:val="en-GB"/>
              </w:rPr>
            </w:pPr>
            <w:r w:rsidRPr="006356EE">
              <w:rPr>
                <w:rFonts w:asciiTheme="majorHAnsi" w:hAnsiTheme="majorHAnsi"/>
                <w:szCs w:val="22"/>
                <w:lang w:val="en-GB"/>
              </w:rPr>
              <w:t>Net enrolment ratio in primary education</w:t>
            </w:r>
          </w:p>
        </w:tc>
        <w:tc>
          <w:tcPr>
            <w:tcW w:w="709" w:type="dxa"/>
          </w:tcPr>
          <w:p w14:paraId="6615AC73"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NER</w:t>
            </w:r>
          </w:p>
        </w:tc>
        <w:tc>
          <w:tcPr>
            <w:tcW w:w="992" w:type="dxa"/>
          </w:tcPr>
          <w:p w14:paraId="6885B2F5" w14:textId="520BF17B" w:rsidR="000C50CD" w:rsidRPr="001766D9" w:rsidRDefault="000C50CD" w:rsidP="003363E4">
            <w:pPr>
              <w:jc w:val="left"/>
              <w:rPr>
                <w:rFonts w:asciiTheme="majorHAnsi" w:hAnsiTheme="majorHAnsi"/>
                <w:szCs w:val="22"/>
              </w:rPr>
            </w:pPr>
            <w:r w:rsidRPr="001766D9">
              <w:rPr>
                <w:rFonts w:asciiTheme="majorHAnsi" w:hAnsiTheme="majorHAnsi"/>
                <w:szCs w:val="22"/>
              </w:rPr>
              <w:t>Rat</w:t>
            </w:r>
            <w:r w:rsidR="006356EE">
              <w:rPr>
                <w:rFonts w:asciiTheme="majorHAnsi" w:hAnsiTheme="majorHAnsi"/>
                <w:szCs w:val="22"/>
              </w:rPr>
              <w:t>io</w:t>
            </w:r>
          </w:p>
        </w:tc>
        <w:tc>
          <w:tcPr>
            <w:tcW w:w="1276" w:type="dxa"/>
          </w:tcPr>
          <w:p w14:paraId="6C2F528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6E7D9945" w14:textId="2D5857AD"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36DEE11" w14:textId="752CEF20"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0B52E1B7"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Grade</w:t>
            </w:r>
          </w:p>
        </w:tc>
        <w:tc>
          <w:tcPr>
            <w:tcW w:w="4308" w:type="dxa"/>
          </w:tcPr>
          <w:p w14:paraId="05A9CD4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pupils (or students) enrolled who are of the official age group for a given level of education by the population for the same age group and multiply the result by 100. This indicator has dimension values of sex, locality and grade.</w:t>
            </w:r>
          </w:p>
        </w:tc>
      </w:tr>
      <w:tr w:rsidR="00212707" w:rsidRPr="001766D9" w14:paraId="2596F173" w14:textId="77777777" w:rsidTr="00B81A8A">
        <w:trPr>
          <w:cantSplit/>
        </w:trPr>
        <w:tc>
          <w:tcPr>
            <w:tcW w:w="534" w:type="dxa"/>
          </w:tcPr>
          <w:p w14:paraId="1407EFBC" w14:textId="42008BFD" w:rsidR="000C50CD" w:rsidRPr="001766D9" w:rsidRDefault="006356EE" w:rsidP="003363E4">
            <w:pPr>
              <w:jc w:val="left"/>
              <w:rPr>
                <w:rFonts w:asciiTheme="majorHAnsi" w:hAnsiTheme="majorHAnsi"/>
                <w:szCs w:val="22"/>
              </w:rPr>
            </w:pPr>
            <w:r>
              <w:rPr>
                <w:rFonts w:asciiTheme="majorHAnsi" w:hAnsiTheme="majorHAnsi"/>
                <w:szCs w:val="22"/>
              </w:rPr>
              <w:t>2.2</w:t>
            </w:r>
          </w:p>
        </w:tc>
        <w:tc>
          <w:tcPr>
            <w:tcW w:w="1417" w:type="dxa"/>
          </w:tcPr>
          <w:p w14:paraId="0F84BDA4" w14:textId="44F90B3B" w:rsidR="000C50CD" w:rsidRPr="006356EE" w:rsidRDefault="006356EE" w:rsidP="003363E4">
            <w:pPr>
              <w:jc w:val="left"/>
              <w:rPr>
                <w:rFonts w:asciiTheme="majorHAnsi" w:hAnsiTheme="majorHAnsi"/>
                <w:szCs w:val="22"/>
                <w:lang w:val="en-GB"/>
              </w:rPr>
            </w:pPr>
            <w:r w:rsidRPr="006356EE">
              <w:rPr>
                <w:rFonts w:asciiTheme="majorHAnsi" w:hAnsiTheme="majorHAnsi"/>
                <w:szCs w:val="22"/>
                <w:lang w:val="en-GB"/>
              </w:rPr>
              <w:t>Proportion of pupils starting grade 1 who reach last grade of primary</w:t>
            </w:r>
            <w:r>
              <w:rPr>
                <w:rFonts w:asciiTheme="majorHAnsi" w:hAnsiTheme="majorHAnsi"/>
                <w:szCs w:val="22"/>
              </w:rPr>
              <w:t xml:space="preserve"> (</w:t>
            </w:r>
            <w:r w:rsidR="000C50CD" w:rsidRPr="001766D9">
              <w:rPr>
                <w:rFonts w:asciiTheme="majorHAnsi" w:hAnsiTheme="majorHAnsi"/>
                <w:szCs w:val="22"/>
              </w:rPr>
              <w:t>Survival Rate</w:t>
            </w:r>
            <w:r>
              <w:rPr>
                <w:rFonts w:asciiTheme="majorHAnsi" w:hAnsiTheme="majorHAnsi"/>
                <w:szCs w:val="22"/>
              </w:rPr>
              <w:t>)</w:t>
            </w:r>
          </w:p>
        </w:tc>
        <w:tc>
          <w:tcPr>
            <w:tcW w:w="709" w:type="dxa"/>
          </w:tcPr>
          <w:p w14:paraId="726BF4D9"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SR</w:t>
            </w:r>
          </w:p>
        </w:tc>
        <w:tc>
          <w:tcPr>
            <w:tcW w:w="992" w:type="dxa"/>
          </w:tcPr>
          <w:p w14:paraId="329D127B"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4EDAD70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5748F652"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251E80BB"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6740D462" w14:textId="314E3A99" w:rsidR="000C50CD"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tc>
        <w:tc>
          <w:tcPr>
            <w:tcW w:w="4308" w:type="dxa"/>
          </w:tcPr>
          <w:p w14:paraId="3D20923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total number of pupils belonging to a school-cohort who reached each successive grade of the specified level of education by the number of pupils in the school-cohort i.e. those originally enrolled in the first grade of primary education, and multiply the result by 100. The survival rate is calculated on the basis of the reconstructed cohort method, which uses data on enrolment and repeaters for two consecutive years. This indicator has dimension values of sex, locality and sector.</w:t>
            </w:r>
          </w:p>
        </w:tc>
      </w:tr>
      <w:tr w:rsidR="00212707" w:rsidRPr="001766D9" w14:paraId="162F6F0F" w14:textId="77777777" w:rsidTr="00B81A8A">
        <w:trPr>
          <w:cantSplit/>
        </w:trPr>
        <w:tc>
          <w:tcPr>
            <w:tcW w:w="534" w:type="dxa"/>
          </w:tcPr>
          <w:p w14:paraId="2AB9809A" w14:textId="7383D0CC" w:rsidR="000C50CD" w:rsidRPr="001766D9" w:rsidRDefault="006356EE" w:rsidP="003363E4">
            <w:pPr>
              <w:jc w:val="left"/>
              <w:rPr>
                <w:rFonts w:asciiTheme="majorHAnsi" w:hAnsiTheme="majorHAnsi" w:cs="Times New Roman"/>
                <w:szCs w:val="22"/>
              </w:rPr>
            </w:pPr>
            <w:r>
              <w:rPr>
                <w:rFonts w:asciiTheme="majorHAnsi" w:hAnsiTheme="majorHAnsi" w:cs="Times New Roman"/>
                <w:szCs w:val="22"/>
              </w:rPr>
              <w:t>2.3</w:t>
            </w:r>
          </w:p>
        </w:tc>
        <w:tc>
          <w:tcPr>
            <w:tcW w:w="1417" w:type="dxa"/>
          </w:tcPr>
          <w:p w14:paraId="298753C9" w14:textId="0F35C092" w:rsidR="000C50CD" w:rsidRPr="006356EE" w:rsidRDefault="006356EE" w:rsidP="003363E4">
            <w:pPr>
              <w:jc w:val="left"/>
              <w:rPr>
                <w:rFonts w:asciiTheme="majorHAnsi" w:hAnsiTheme="majorHAnsi" w:cs="Times New Roman"/>
                <w:szCs w:val="22"/>
                <w:lang w:val="en-GB"/>
              </w:rPr>
            </w:pPr>
            <w:r w:rsidRPr="006356EE">
              <w:rPr>
                <w:rFonts w:asciiTheme="majorHAnsi" w:hAnsiTheme="majorHAnsi" w:cs="Times New Roman"/>
                <w:szCs w:val="22"/>
                <w:lang w:val="en-GB"/>
              </w:rPr>
              <w:t>Literacy rate of 15-24 year-olds, women and men</w:t>
            </w:r>
          </w:p>
        </w:tc>
        <w:tc>
          <w:tcPr>
            <w:tcW w:w="709" w:type="dxa"/>
          </w:tcPr>
          <w:p w14:paraId="47A61691" w14:textId="6170327A" w:rsidR="000C50CD" w:rsidRPr="001766D9" w:rsidRDefault="006356EE" w:rsidP="003363E4">
            <w:pPr>
              <w:jc w:val="left"/>
              <w:rPr>
                <w:rFonts w:asciiTheme="majorHAnsi" w:hAnsiTheme="majorHAnsi"/>
                <w:szCs w:val="22"/>
              </w:rPr>
            </w:pPr>
            <w:r>
              <w:rPr>
                <w:rFonts w:asciiTheme="majorHAnsi" w:hAnsiTheme="majorHAnsi"/>
                <w:szCs w:val="22"/>
              </w:rPr>
              <w:t>L</w:t>
            </w:r>
            <w:r w:rsidR="000C50CD" w:rsidRPr="001766D9">
              <w:rPr>
                <w:rFonts w:asciiTheme="majorHAnsi" w:hAnsiTheme="majorHAnsi"/>
                <w:szCs w:val="22"/>
              </w:rPr>
              <w:t>R</w:t>
            </w:r>
          </w:p>
        </w:tc>
        <w:tc>
          <w:tcPr>
            <w:tcW w:w="992" w:type="dxa"/>
          </w:tcPr>
          <w:p w14:paraId="49BC9CA1"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63D1B22A"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212AC950"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430B172" w14:textId="6378F052" w:rsidR="000C50CD" w:rsidRPr="002E7E9C" w:rsidRDefault="002E7E9C" w:rsidP="002E7E9C">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tc>
        <w:tc>
          <w:tcPr>
            <w:tcW w:w="4308" w:type="dxa"/>
          </w:tcPr>
          <w:p w14:paraId="3B1455E1" w14:textId="5C2A9497" w:rsidR="000C50CD" w:rsidRPr="00281A5B" w:rsidRDefault="00281A5B" w:rsidP="003363E4">
            <w:pPr>
              <w:widowControl w:val="0"/>
              <w:autoSpaceDE w:val="0"/>
              <w:autoSpaceDN w:val="0"/>
              <w:adjustRightInd w:val="0"/>
              <w:jc w:val="left"/>
              <w:rPr>
                <w:rFonts w:asciiTheme="majorHAnsi" w:hAnsiTheme="majorHAnsi" w:cs="Times New Roman"/>
                <w:szCs w:val="22"/>
                <w:lang w:val="en-GB"/>
              </w:rPr>
            </w:pPr>
            <w:r w:rsidRPr="00281A5B">
              <w:rPr>
                <w:rFonts w:asciiTheme="majorHAnsi" w:hAnsiTheme="majorHAnsi" w:cs="Times New Roman"/>
                <w:szCs w:val="22"/>
                <w:lang w:val="en-GB"/>
              </w:rPr>
              <w:t xml:space="preserve">Divide the number of people aged 15 to 24 years who are literate by the total population in the same age group </w:t>
            </w:r>
            <w:r>
              <w:rPr>
                <w:rFonts w:asciiTheme="majorHAnsi" w:hAnsiTheme="majorHAnsi" w:cs="Times New Roman"/>
                <w:szCs w:val="22"/>
                <w:lang w:val="en-GB"/>
              </w:rPr>
              <w:t>and multiply the result by 100</w:t>
            </w:r>
            <w:r w:rsidR="000C50CD" w:rsidRPr="001766D9">
              <w:rPr>
                <w:rFonts w:asciiTheme="majorHAnsi" w:hAnsiTheme="majorHAnsi" w:cs="Times New Roman"/>
                <w:szCs w:val="22"/>
              </w:rPr>
              <w:t>. This indicator has dimension values of sex, locality, sector and grade.</w:t>
            </w:r>
          </w:p>
        </w:tc>
      </w:tr>
    </w:tbl>
    <w:p w14:paraId="1D6E26AA" w14:textId="77777777" w:rsidR="002C21B0" w:rsidRDefault="002C21B0" w:rsidP="002C21B0">
      <w:pPr>
        <w:rPr>
          <w:szCs w:val="22"/>
        </w:rPr>
      </w:pPr>
    </w:p>
    <w:p w14:paraId="37C6D96C" w14:textId="4B4B429B" w:rsidR="005516DE" w:rsidRPr="005516DE" w:rsidRDefault="00212707" w:rsidP="005516DE">
      <w:pPr>
        <w:widowControl w:val="0"/>
        <w:autoSpaceDE w:val="0"/>
        <w:autoSpaceDN w:val="0"/>
        <w:adjustRightInd w:val="0"/>
        <w:rPr>
          <w:rFonts w:asciiTheme="majorHAnsi" w:hAnsiTheme="majorHAnsi" w:cs="Times New Roman"/>
          <w:szCs w:val="22"/>
        </w:rPr>
      </w:pPr>
      <w:r>
        <w:rPr>
          <w:szCs w:val="22"/>
        </w:rPr>
        <w:t xml:space="preserve">Note: Subgroup values are </w:t>
      </w:r>
      <w:r w:rsidR="005516DE">
        <w:rPr>
          <w:rFonts w:asciiTheme="majorHAnsi" w:hAnsiTheme="majorHAnsi" w:cs="Times New Roman"/>
          <w:szCs w:val="22"/>
        </w:rPr>
        <w:t>s</w:t>
      </w:r>
      <w:r w:rsidRPr="001766D9">
        <w:rPr>
          <w:rFonts w:asciiTheme="majorHAnsi" w:hAnsiTheme="majorHAnsi" w:cs="Times New Roman"/>
          <w:szCs w:val="22"/>
        </w:rPr>
        <w:t>ex</w:t>
      </w:r>
      <w:r>
        <w:rPr>
          <w:rFonts w:asciiTheme="majorHAnsi" w:hAnsiTheme="majorHAnsi" w:cs="Times New Roman"/>
          <w:szCs w:val="22"/>
        </w:rPr>
        <w:t xml:space="preserve"> (male/female), </w:t>
      </w:r>
      <w:r w:rsidR="005516DE">
        <w:rPr>
          <w:rFonts w:asciiTheme="majorHAnsi" w:hAnsiTheme="majorHAnsi" w:cs="Times New Roman"/>
          <w:szCs w:val="22"/>
        </w:rPr>
        <w:t>locality</w:t>
      </w:r>
      <w:r>
        <w:rPr>
          <w:rFonts w:asciiTheme="majorHAnsi" w:hAnsiTheme="majorHAnsi" w:cs="Times New Roman"/>
          <w:szCs w:val="22"/>
        </w:rPr>
        <w:t xml:space="preserve"> (</w:t>
      </w:r>
      <w:r w:rsidR="005516DE">
        <w:rPr>
          <w:rFonts w:asciiTheme="majorHAnsi" w:hAnsiTheme="majorHAnsi" w:cs="Times New Roman"/>
          <w:szCs w:val="22"/>
        </w:rPr>
        <w:t>u</w:t>
      </w:r>
      <w:r w:rsidRPr="001766D9">
        <w:rPr>
          <w:rFonts w:asciiTheme="majorHAnsi" w:hAnsiTheme="majorHAnsi" w:cs="Times New Roman"/>
          <w:szCs w:val="22"/>
        </w:rPr>
        <w:t>rban/</w:t>
      </w:r>
      <w:r w:rsidR="005516DE">
        <w:rPr>
          <w:rFonts w:asciiTheme="majorHAnsi" w:hAnsiTheme="majorHAnsi" w:cs="Times New Roman"/>
          <w:szCs w:val="22"/>
        </w:rPr>
        <w:t>r</w:t>
      </w:r>
      <w:r w:rsidRPr="001766D9">
        <w:rPr>
          <w:rFonts w:asciiTheme="majorHAnsi" w:hAnsiTheme="majorHAnsi" w:cs="Times New Roman"/>
          <w:szCs w:val="22"/>
        </w:rPr>
        <w:t>ural</w:t>
      </w:r>
      <w:r>
        <w:rPr>
          <w:rFonts w:asciiTheme="majorHAnsi" w:hAnsiTheme="majorHAnsi" w:cs="Times New Roman"/>
          <w:szCs w:val="22"/>
        </w:rPr>
        <w:t>)</w:t>
      </w:r>
      <w:r w:rsidR="005516DE">
        <w:rPr>
          <w:rFonts w:asciiTheme="majorHAnsi" w:hAnsiTheme="majorHAnsi" w:cs="Times New Roman"/>
          <w:szCs w:val="22"/>
        </w:rPr>
        <w:t xml:space="preserve">, </w:t>
      </w:r>
      <w:r w:rsidR="006D6D77">
        <w:rPr>
          <w:rFonts w:asciiTheme="majorHAnsi" w:hAnsiTheme="majorHAnsi" w:cs="Times New Roman"/>
          <w:szCs w:val="22"/>
        </w:rPr>
        <w:t xml:space="preserve">and </w:t>
      </w:r>
      <w:r w:rsidR="005516DE">
        <w:rPr>
          <w:rFonts w:asciiTheme="majorHAnsi" w:hAnsiTheme="majorHAnsi"/>
          <w:szCs w:val="22"/>
        </w:rPr>
        <w:t>sector (public/private)</w:t>
      </w:r>
    </w:p>
    <w:sectPr w:rsidR="005516DE" w:rsidRPr="005516DE" w:rsidSect="00AC5DCB">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281C" w14:textId="77777777" w:rsidR="00062076" w:rsidRDefault="00062076" w:rsidP="00AF303C">
      <w:r>
        <w:separator/>
      </w:r>
    </w:p>
  </w:endnote>
  <w:endnote w:type="continuationSeparator" w:id="0">
    <w:p w14:paraId="01F821A7" w14:textId="77777777" w:rsidR="00062076" w:rsidRDefault="00062076"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27BA0890" w14:textId="77777777" w:rsidTr="00B621E5">
      <w:tc>
        <w:tcPr>
          <w:tcW w:w="3060" w:type="dxa"/>
        </w:tcPr>
        <w:p w14:paraId="74A00CC5" w14:textId="77777777"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3F1479">
            <w:rPr>
              <w:rFonts w:asciiTheme="majorHAnsi" w:hAnsiTheme="majorHAnsi" w:cs="Times New Roman"/>
              <w:noProof/>
              <w:sz w:val="16"/>
              <w:szCs w:val="16"/>
            </w:rPr>
            <w:t>OpenEMIS MDG Indicators.docx</w:t>
          </w:r>
          <w:r w:rsidRPr="00B92DCF">
            <w:rPr>
              <w:rFonts w:asciiTheme="majorHAnsi" w:hAnsiTheme="majorHAnsi" w:cs="Times New Roman"/>
              <w:sz w:val="16"/>
              <w:szCs w:val="16"/>
            </w:rPr>
            <w:fldChar w:fldCharType="end"/>
          </w:r>
        </w:p>
      </w:tc>
      <w:tc>
        <w:tcPr>
          <w:tcW w:w="3060" w:type="dxa"/>
        </w:tcPr>
        <w:p w14:paraId="3B16D8DA"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3F1479">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3F1479">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68A03A0" w14:textId="2DE42C4A"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6B08FB">
            <w:rPr>
              <w:rFonts w:asciiTheme="majorHAnsi" w:hAnsiTheme="majorHAnsi"/>
              <w:sz w:val="16"/>
              <w:szCs w:val="16"/>
            </w:rPr>
            <w:t>80313</w:t>
          </w:r>
        </w:p>
      </w:tc>
    </w:tr>
  </w:tbl>
  <w:p w14:paraId="26E74478" w14:textId="77777777" w:rsidR="00C75FBD" w:rsidRPr="00B92DCF" w:rsidRDefault="00C75FBD" w:rsidP="008D6064">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D87F" w14:textId="77777777" w:rsidR="00062076" w:rsidRDefault="00062076" w:rsidP="00AF303C">
      <w:r>
        <w:separator/>
      </w:r>
    </w:p>
  </w:footnote>
  <w:footnote w:type="continuationSeparator" w:id="0">
    <w:p w14:paraId="3B65BA5A" w14:textId="77777777" w:rsidR="00062076" w:rsidRDefault="00062076"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039EF" w14:paraId="27720D42" w14:textId="77777777" w:rsidTr="008B49CB">
      <w:tc>
        <w:tcPr>
          <w:tcW w:w="6345" w:type="dxa"/>
          <w:vAlign w:val="center"/>
        </w:tcPr>
        <w:p w14:paraId="481A207B" w14:textId="77777777" w:rsidR="006039EF" w:rsidRDefault="006039EF" w:rsidP="008B49CB">
          <w:pPr>
            <w:pStyle w:val="Header"/>
          </w:pPr>
          <w:r>
            <w:rPr>
              <w:noProof/>
              <w:lang w:val="en-GB" w:eastAsia="en-GB"/>
            </w:rPr>
            <w:drawing>
              <wp:inline distT="0" distB="0" distL="0" distR="0" wp14:anchorId="1FCB7283" wp14:editId="64B028B0">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D5CE65A" w14:textId="77777777" w:rsidR="006039EF" w:rsidRDefault="006039EF" w:rsidP="008B49CB">
          <w:pPr>
            <w:pStyle w:val="Header"/>
            <w:jc w:val="right"/>
          </w:pPr>
          <w:r w:rsidRPr="000E793D">
            <w:rPr>
              <w:noProof/>
              <w:lang w:val="en-GB" w:eastAsia="en-GB"/>
            </w:rPr>
            <w:drawing>
              <wp:inline distT="0" distB="0" distL="0" distR="0" wp14:anchorId="7C07AD30" wp14:editId="4D8BFD9A">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5FFDD21A" w14:textId="77777777" w:rsidR="006039EF" w:rsidRPr="000E793D" w:rsidRDefault="006039EF" w:rsidP="008B49CB">
          <w:pPr>
            <w:pStyle w:val="Header"/>
            <w:jc w:val="right"/>
          </w:pPr>
          <w:r>
            <w:rPr>
              <w:noProof/>
              <w:lang w:val="en-GB" w:eastAsia="en-GB"/>
            </w:rPr>
            <w:drawing>
              <wp:inline distT="0" distB="0" distL="0" distR="0" wp14:anchorId="0E8CDDD5" wp14:editId="4D26E289">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D736056" w14:textId="77777777" w:rsidR="00C75FBD" w:rsidRDefault="00C7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1B0"/>
    <w:rsid w:val="00024B7A"/>
    <w:rsid w:val="00062076"/>
    <w:rsid w:val="000C50CD"/>
    <w:rsid w:val="000C59B7"/>
    <w:rsid w:val="000D3C03"/>
    <w:rsid w:val="00122D3F"/>
    <w:rsid w:val="001313EC"/>
    <w:rsid w:val="001703CF"/>
    <w:rsid w:val="00191DDB"/>
    <w:rsid w:val="001A4C12"/>
    <w:rsid w:val="001B0EE8"/>
    <w:rsid w:val="00210FEE"/>
    <w:rsid w:val="00212707"/>
    <w:rsid w:val="002170DC"/>
    <w:rsid w:val="00217F2E"/>
    <w:rsid w:val="0023785B"/>
    <w:rsid w:val="00281A5B"/>
    <w:rsid w:val="002C21B0"/>
    <w:rsid w:val="002E7E9C"/>
    <w:rsid w:val="00330AEF"/>
    <w:rsid w:val="003363E4"/>
    <w:rsid w:val="00361A07"/>
    <w:rsid w:val="003B1220"/>
    <w:rsid w:val="003F1479"/>
    <w:rsid w:val="00405397"/>
    <w:rsid w:val="004406BB"/>
    <w:rsid w:val="00490131"/>
    <w:rsid w:val="00493DB0"/>
    <w:rsid w:val="004960C0"/>
    <w:rsid w:val="00522B16"/>
    <w:rsid w:val="005516DE"/>
    <w:rsid w:val="00586545"/>
    <w:rsid w:val="005A091F"/>
    <w:rsid w:val="005C25AB"/>
    <w:rsid w:val="005C6736"/>
    <w:rsid w:val="005F1FDE"/>
    <w:rsid w:val="006039EF"/>
    <w:rsid w:val="00607925"/>
    <w:rsid w:val="006356EE"/>
    <w:rsid w:val="0065056B"/>
    <w:rsid w:val="0067381C"/>
    <w:rsid w:val="00691C9E"/>
    <w:rsid w:val="006B08FB"/>
    <w:rsid w:val="006C19F9"/>
    <w:rsid w:val="006D6D77"/>
    <w:rsid w:val="00742496"/>
    <w:rsid w:val="007A1D82"/>
    <w:rsid w:val="007C55EC"/>
    <w:rsid w:val="00807F10"/>
    <w:rsid w:val="0086499F"/>
    <w:rsid w:val="00881F62"/>
    <w:rsid w:val="008C07F0"/>
    <w:rsid w:val="008D6064"/>
    <w:rsid w:val="008D61C9"/>
    <w:rsid w:val="00971146"/>
    <w:rsid w:val="00973ED2"/>
    <w:rsid w:val="009B3675"/>
    <w:rsid w:val="009B38B4"/>
    <w:rsid w:val="009D423F"/>
    <w:rsid w:val="009D61B2"/>
    <w:rsid w:val="00A076AF"/>
    <w:rsid w:val="00A3171F"/>
    <w:rsid w:val="00A50689"/>
    <w:rsid w:val="00A9573B"/>
    <w:rsid w:val="00AC5DCB"/>
    <w:rsid w:val="00AC773B"/>
    <w:rsid w:val="00AD2BF7"/>
    <w:rsid w:val="00AD48D8"/>
    <w:rsid w:val="00AE2462"/>
    <w:rsid w:val="00AF303C"/>
    <w:rsid w:val="00B20B64"/>
    <w:rsid w:val="00B371BF"/>
    <w:rsid w:val="00B4296D"/>
    <w:rsid w:val="00B621E5"/>
    <w:rsid w:val="00B74869"/>
    <w:rsid w:val="00B8106C"/>
    <w:rsid w:val="00B81A8A"/>
    <w:rsid w:val="00B92DCF"/>
    <w:rsid w:val="00BD758A"/>
    <w:rsid w:val="00C75FBD"/>
    <w:rsid w:val="00CB0321"/>
    <w:rsid w:val="00CE7CAC"/>
    <w:rsid w:val="00D020A0"/>
    <w:rsid w:val="00D335C3"/>
    <w:rsid w:val="00D84675"/>
    <w:rsid w:val="00DB4244"/>
    <w:rsid w:val="00E108B3"/>
    <w:rsid w:val="00E77CBC"/>
    <w:rsid w:val="00EA6D2D"/>
    <w:rsid w:val="00F07D06"/>
    <w:rsid w:val="00F61B10"/>
    <w:rsid w:val="00F73064"/>
    <w:rsid w:val="00FE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6AE8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paragraph" w:styleId="Heading3">
    <w:name w:val="heading 3"/>
    <w:basedOn w:val="Normal"/>
    <w:next w:val="Normal"/>
    <w:link w:val="Heading3Char"/>
    <w:uiPriority w:val="9"/>
    <w:semiHidden/>
    <w:unhideWhenUsed/>
    <w:qFormat/>
    <w:rsid w:val="000C59B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6EE"/>
    <w:rPr>
      <w:color w:val="0000FF" w:themeColor="hyperlink"/>
      <w:u w:val="single"/>
    </w:rPr>
  </w:style>
  <w:style w:type="character" w:customStyle="1" w:styleId="Heading3Char">
    <w:name w:val="Heading 3 Char"/>
    <w:basedOn w:val="DefaultParagraphFont"/>
    <w:link w:val="Heading3"/>
    <w:uiPriority w:val="9"/>
    <w:semiHidden/>
    <w:rsid w:val="000C59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8942">
      <w:bodyDiv w:val="1"/>
      <w:marLeft w:val="0"/>
      <w:marRight w:val="0"/>
      <w:marTop w:val="0"/>
      <w:marBottom w:val="0"/>
      <w:divBdr>
        <w:top w:val="none" w:sz="0" w:space="0" w:color="auto"/>
        <w:left w:val="none" w:sz="0" w:space="0" w:color="auto"/>
        <w:bottom w:val="none" w:sz="0" w:space="0" w:color="auto"/>
        <w:right w:val="none" w:sz="0" w:space="0" w:color="auto"/>
      </w:divBdr>
    </w:div>
    <w:div w:id="476990759">
      <w:bodyDiv w:val="1"/>
      <w:marLeft w:val="0"/>
      <w:marRight w:val="0"/>
      <w:marTop w:val="0"/>
      <w:marBottom w:val="0"/>
      <w:divBdr>
        <w:top w:val="none" w:sz="0" w:space="0" w:color="auto"/>
        <w:left w:val="none" w:sz="0" w:space="0" w:color="auto"/>
        <w:bottom w:val="none" w:sz="0" w:space="0" w:color="auto"/>
        <w:right w:val="none" w:sz="0" w:space="0" w:color="auto"/>
      </w:divBdr>
    </w:div>
    <w:div w:id="741828295">
      <w:bodyDiv w:val="1"/>
      <w:marLeft w:val="0"/>
      <w:marRight w:val="0"/>
      <w:marTop w:val="0"/>
      <w:marBottom w:val="0"/>
      <w:divBdr>
        <w:top w:val="none" w:sz="0" w:space="0" w:color="auto"/>
        <w:left w:val="none" w:sz="0" w:space="0" w:color="auto"/>
        <w:bottom w:val="none" w:sz="0" w:space="0" w:color="auto"/>
        <w:right w:val="none" w:sz="0" w:space="0" w:color="auto"/>
      </w:divBdr>
    </w:div>
    <w:div w:id="1510867954">
      <w:bodyDiv w:val="1"/>
      <w:marLeft w:val="0"/>
      <w:marRight w:val="0"/>
      <w:marTop w:val="0"/>
      <w:marBottom w:val="0"/>
      <w:divBdr>
        <w:top w:val="none" w:sz="0" w:space="0" w:color="auto"/>
        <w:left w:val="none" w:sz="0" w:space="0" w:color="auto"/>
        <w:bottom w:val="none" w:sz="0" w:space="0" w:color="auto"/>
        <w:right w:val="none" w:sz="0" w:space="0" w:color="auto"/>
      </w:divBdr>
    </w:div>
    <w:div w:id="1851406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lturnbull:Downloads:OpenEMIS_Template_e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Macintosh%20HD:Users:karlturnbull:Downloads:OpenEMIS_Template_en-2.dotx</Template>
  <TotalTime>40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36</cp:revision>
  <cp:lastPrinted>2017-01-13T08:58:00Z</cp:lastPrinted>
  <dcterms:created xsi:type="dcterms:W3CDTF">2016-12-21T02:08:00Z</dcterms:created>
  <dcterms:modified xsi:type="dcterms:W3CDTF">2018-03-14T06:45:00Z</dcterms:modified>
</cp:coreProperties>
</file>